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60" w:before="0"/>
        <w:jc w:val="center"/>
      </w:pPr>
      <w:r>
        <w:rPr>
          <w:rFonts w:ascii="Arial" w:cs="Arial" w:eastAsia="Arial" w:hAnsi="Arial"/>
          <w:b/>
          <w:bCs/>
          <w:caps/>
          <w:color w:val="0a6abf"/>
          <w:sz w:val="28"/>
          <w:szCs w:val="28"/>
        </w:rPr>
        <w:t xml:space="preserve">DCGP.AI  |  DOCGROKHEALTH</w:t>
      </w:r>
    </w:p>
    <w:p>
      <w:pPr>
        <w:spacing w:after="60" w:before="0"/>
        <w:jc w:val="center"/>
      </w:pPr>
      <w:r>
        <w:rPr>
          <w:rFonts w:ascii="Arial" w:cs="Arial" w:eastAsia="Arial" w:hAnsi="Arial"/>
          <w:i/>
          <w:iCs/>
          <w:color w:val="888888"/>
          <w:sz w:val="20"/>
          <w:szCs w:val="20"/>
        </w:rPr>
        <w:t xml:space="preserve">Formal Mapping Series — Document 2</w:t>
      </w:r>
    </w:p>
    <w:p>
      <w:pPr>
        <w:pBdr>
          <w:bottom w:val="single" w:color="0a6abf" w:sz="8" w:space="8"/>
        </w:pBdr>
        <w:spacing w:after="280" w:before="0"/>
        <w:jc w:val="center"/>
      </w:pPr>
      <w:r>
        <w:rPr>
          <w:rFonts w:ascii="Arial" w:cs="Arial" w:eastAsia="Arial" w:hAnsi="Arial"/>
          <w:i/>
          <w:iCs/>
          <w:color w:val="888888"/>
          <w:sz w:val="20"/>
          <w:szCs w:val="20"/>
        </w:rPr>
        <w:t xml:space="preserve">CIP Disclosure — EOLRP / Echo Operator / Replication Restart</w:t>
      </w:r>
    </w:p>
    <w:p>
      <w:pPr>
        <w:spacing w:after="80" w:before="0"/>
      </w:pPr>
      <w:r>
        <w:t xml:space="preserve"/>
      </w:r>
    </w:p>
    <w:p>
      <w:pPr>
        <w:spacing w:after="120" w:before="0"/>
        <w:jc w:val="center"/>
      </w:pPr>
      <w:r>
        <w:rPr>
          <w:rFonts w:ascii="Arial" w:cs="Arial" w:eastAsia="Arial" w:hAnsi="Arial"/>
          <w:b/>
          <w:bCs/>
          <w:color w:val="1a3a5c"/>
          <w:sz w:val="44"/>
          <w:szCs w:val="44"/>
        </w:rPr>
        <w:t xml:space="preserve">REPLICATION RESTART AS LOSSLESS GOVERNED RECONSTRUCTION</w:t>
      </w:r>
    </w:p>
    <w:p>
      <w:pPr>
        <w:spacing w:after="280" w:before="0"/>
        <w:jc w:val="center"/>
      </w:pPr>
      <w:r>
        <w:rPr>
          <w:rFonts w:ascii="Arial" w:cs="Arial" w:eastAsia="Arial" w:hAnsi="Arial"/>
          <w:i/>
          <w:iCs/>
          <w:color w:val="2e75b6"/>
          <w:sz w:val="26"/>
          <w:szCs w:val="26"/>
        </w:rPr>
        <w:t xml:space="preserve">Formal Mapping of the Echo Operator Lossless Reconstruction Protocol (EOLRP), the Threefold Cord Projection, the Spectral Observer, and the Lindblad Rescue Operators onto DNA Replication Fork Stall, Restart, and Rescue Operations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5e8" w:sz="1"/>
              <w:left w:val="single" w:color="c5d5e8" w:sz="1"/>
              <w:bottom w:val="single" w:color="c5d5e8" w:sz="1"/>
              <w:right w:val="single" w:color="c5d5e8"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6960"/>
            <w:tcBorders>
              <w:top w:val="single" w:color="c5d5e8" w:sz="1"/>
              <w:left w:val="single" w:color="c5d5e8" w:sz="1"/>
              <w:bottom w:val="single" w:color="c5d5e8" w:sz="1"/>
              <w:right w:val="single" w:color="c5d5e8"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Author</w:t>
            </w:r>
          </w:p>
        </w:tc>
        <w:tc>
          <w:tcPr>
            <w:tcW w:type="dxa" w:w="69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Joshua Lopez, Founder &amp; Chief Architect, DCGP.AI / DocGrokHealth</w:t>
            </w:r>
          </w:p>
        </w:tc>
      </w:tr>
      <w:tr>
        <w:tc>
          <w:tcPr>
            <w:tcW w:type="dxa" w:w="24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Document Type</w:t>
            </w:r>
          </w:p>
        </w:tc>
        <w:tc>
          <w:tcPr>
            <w:tcW w:type="dxa" w:w="69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CIP Formal Disclosure — Patent-Ready</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Date</w:t>
            </w:r>
          </w:p>
        </w:tc>
        <w:tc>
          <w:tcPr>
            <w:tcW w:type="dxa" w:w="69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June 7, 2026</w:t>
            </w:r>
          </w:p>
        </w:tc>
      </w:tr>
      <w:tr>
        <w:tc>
          <w:tcPr>
            <w:tcW w:type="dxa" w:w="24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Classification</w:t>
            </w:r>
          </w:p>
        </w:tc>
        <w:tc>
          <w:tcPr>
            <w:tcW w:type="dxa" w:w="69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CONFIDENTIAL — Patent Pending</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Parent Filings</w:t>
            </w:r>
          </w:p>
        </w:tc>
        <w:tc>
          <w:tcPr>
            <w:tcW w:type="dxa" w:w="69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EOLRP CIP of USPTO #19/555,951; Echo Operator (March 21, 2026); Cross-Domain Echo Operator (April 2026)</w:t>
            </w:r>
          </w:p>
        </w:tc>
      </w:tr>
      <w:tr>
        <w:tc>
          <w:tcPr>
            <w:tcW w:type="dxa" w:w="24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Related Filings</w:t>
            </w:r>
          </w:p>
        </w:tc>
        <w:tc>
          <w:tcPr>
            <w:tcW w:type="dxa" w:w="69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USPTO #19/574,336 (Echo Operator); #19/693,411 (NAME Protocol); #64/084,528 (QCL-3 BDG); Nuclear Islands Provisional (June 5, 2026); Lopez Coupling Theorem Provisional (June 7, 2026)</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Primary Application</w:t>
            </w:r>
          </w:p>
        </w:tc>
        <w:tc>
          <w:tcPr>
            <w:tcW w:type="dxa" w:w="69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DocGrokHealth — Constitutional AI Governance for Clinical and Genomic Systems</w:t>
            </w:r>
          </w:p>
        </w:tc>
      </w:tr>
      <w:tr>
        <w:tc>
          <w:tcPr>
            <w:tcW w:type="dxa" w:w="24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Contact</w:t>
            </w:r>
          </w:p>
        </w:tc>
        <w:tc>
          <w:tcPr>
            <w:tcW w:type="dxa" w:w="69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aura115.ai  |  Patent Counsel: Dar'shun Kendrick, Kairos Capital Legal Advisors</w:t>
            </w:r>
          </w:p>
        </w:tc>
      </w:tr>
    </w:tbl>
    <w:p>
      <w:pPr>
        <w:spacing w:after="160" w:before="0"/>
      </w:pPr>
      <w:r>
        <w:t xml:space="preserve"/>
      </w:r>
    </w:p>
    <w:p>
      <w:pPr>
        <w:spacing w:after="0" w:before="0"/>
        <w:jc w:val="center"/>
      </w:pPr>
      <w:r>
        <w:rPr>
          <w:rFonts w:ascii="Arial" w:cs="Arial" w:eastAsia="Arial" w:hAnsi="Arial"/>
          <w:i/>
          <w:iCs/>
          <w:color w:val="888888"/>
          <w:sz w:val="18"/>
          <w:szCs w:val="18"/>
        </w:rPr>
        <w:t xml:space="preserve">This document discloses a novel formal mapping establishing that DNA replication fork restart is the biological implementation of the Echo Operator Lossless Reconstruction Protocol — a deterministic, structural, and exchangeable reconstruction of the governing invariant S* from a re-instantiation signal, operating under the Threefold Cord projection constraint with Spectral Observer divergence detection and Lindblad Rescue Operators constructed in the orthogonal complement of the dominant decoherence channel.</w:t>
      </w:r>
    </w:p>
    <w:p>
      <w:r>
        <w:br/>
      </w:r>
    </w:p>
    <w:p>
      <w:pPr>
        <w:pStyle w:val="Heading1"/>
        <w:pBdr>
          <w:bottom w:val="single" w:color="0a6abf" w:sz="8" w:space="6"/>
        </w:pBdr>
        <w:spacing w:after="180" w:before="440"/>
      </w:pPr>
      <w:r>
        <w:rPr>
          <w:rFonts w:ascii="Arial" w:cs="Arial" w:eastAsia="Arial" w:hAnsi="Arial"/>
          <w:b/>
          <w:bCs/>
          <w:color w:val="1a3a5c"/>
          <w:sz w:val="36"/>
          <w:szCs w:val="36"/>
        </w:rPr>
        <w:t xml:space="preserve">Abstract</w:t>
      </w:r>
    </w:p>
    <w:p>
      <w:pPr>
        <w:spacing w:after="100" w:before="80"/>
        <w:jc w:val="both"/>
      </w:pPr>
      <w:r>
        <w:rPr>
          <w:rFonts w:ascii="Arial" w:cs="Arial" w:eastAsia="Arial" w:hAnsi="Arial"/>
          <w:b w:val="false"/>
          <w:bCs w:val="false"/>
          <w:i w:val="false"/>
          <w:iCs w:val="false"/>
          <w:color w:val="2d2d2d"/>
          <w:sz w:val="22"/>
          <w:szCs w:val="22"/>
        </w:rPr>
        <w:t xml:space="preserve">This document presents the formal mapping of the Echo Operator Lossless Reconstruction Protocol (EOLRP) and its associated operator stack — the Echo Operator, the Threefold Cord Projection, the Spectral Observer, and the Lindblad Rescue Operators — onto the molecular biology of DNA replication fork stall, restart, and rescue operations. The central claim is that replication restart is not merely analogous to lossless reconstruction — it is a biological implementation of it. The re-instantiation signal ξ is the RPA-coated ssDNA at the stalled fork. The governance free energy field F_G is the cell cycle state and repair pathway availability. The governing invariant S* is the admissible replication state — the set of conditions under which replication may proceed with fidelity. The Echo Operator E(F_G, ξ, O) re-grows S* from ξ using the local field, reconstructing the governed replication state deterministically from the structural signal rather than from stored state. The obligation resource O is the available repair pathway capacity — HR, fork reversal machinery, repriming activity. The Spectral Observer detects divergence from S* before fork collapse occurs. The Lindblad Rescue Operators are constructed in the orthogonal complement of the dominant decoherence channel — the repair pathway that did not cause the stall — ensuring that rescue does not reintroduce the failure mode. The Threefold Cord Projection provides the triple fidelity guarantee across state space, information space, and decoherence defense simultaneously. Translesion synthesis fails all three Threefold Cord projectors and constitutes a formal authority escalation violation — the biological equivalent of a privilege escalation attack on the replication governance layer.</w:t>
      </w:r>
    </w:p>
    <w:p>
      <w:r>
        <w:br/>
      </w:r>
    </w:p>
    <w:p>
      <w:pPr>
        <w:pStyle w:val="Heading1"/>
        <w:pBdr>
          <w:bottom w:val="single" w:color="0a6abf" w:sz="8" w:space="6"/>
        </w:pBdr>
        <w:spacing w:after="180" w:before="440"/>
      </w:pPr>
      <w:r>
        <w:rPr>
          <w:rFonts w:ascii="Arial" w:cs="Arial" w:eastAsia="Arial" w:hAnsi="Arial"/>
          <w:b/>
          <w:bCs/>
          <w:color w:val="1a3a5c"/>
          <w:sz w:val="36"/>
          <w:szCs w:val="36"/>
        </w:rPr>
        <w:t xml:space="preserve">1. The Operator Stack — Formal Definitions</w:t>
      </w:r>
    </w:p>
    <w:p>
      <w:pPr>
        <w:spacing w:after="100" w:before="80"/>
        <w:jc w:val="both"/>
      </w:pPr>
      <w:r>
        <w:rPr>
          <w:rFonts w:ascii="Arial" w:cs="Arial" w:eastAsia="Arial" w:hAnsi="Arial"/>
          <w:b w:val="false"/>
          <w:bCs w:val="false"/>
          <w:i w:val="false"/>
          <w:iCs w:val="false"/>
          <w:color w:val="2d2d2d"/>
          <w:sz w:val="22"/>
          <w:szCs w:val="22"/>
        </w:rPr>
        <w:t xml:space="preserve">Before the biological mapping can be presented with precision, each operator in the stack must be stated formally. The mapping is not metaphorical. Each biological element maps to a specific mathematical object with specific properties that must be preserved by the mapping.</w:t>
      </w:r>
    </w:p>
    <w:p>
      <w:pPr>
        <w:spacing w:after="80" w:before="0"/>
      </w:pPr>
      <w:r>
        <w:t xml:space="preserve"/>
      </w:r>
    </w:p>
    <w:p>
      <w:pPr>
        <w:pStyle w:val="Heading2"/>
        <w:spacing w:after="120" w:before="300"/>
      </w:pPr>
      <w:r>
        <w:rPr>
          <w:rFonts w:ascii="Arial" w:cs="Arial" w:eastAsia="Arial" w:hAnsi="Arial"/>
          <w:b/>
          <w:bCs/>
          <w:color w:val="2e75b6"/>
          <w:sz w:val="28"/>
          <w:szCs w:val="28"/>
        </w:rPr>
        <w:t xml:space="preserve">1.1  The Echo Operator</w:t>
      </w:r>
    </w:p>
    <w:p>
      <w:pPr>
        <w:spacing w:after="100" w:before="80"/>
        <w:jc w:val="both"/>
      </w:pPr>
      <w:r>
        <w:rPr>
          <w:rFonts w:ascii="Arial" w:cs="Arial" w:eastAsia="Arial" w:hAnsi="Arial"/>
          <w:b w:val="false"/>
          <w:bCs w:val="false"/>
          <w:i w:val="false"/>
          <w:iCs w:val="false"/>
          <w:color w:val="2d2d2d"/>
          <w:sz w:val="22"/>
          <w:szCs w:val="22"/>
        </w:rPr>
        <w:t xml:space="preserve">The Echo Operator is formally defined as:</w:t>
      </w:r>
    </w:p>
    <w:p>
      <w:pPr>
        <w:shd w:fill="f4f6f9" w:val="clear"/>
        <w:spacing w:after="160" w:before="160"/>
        <w:jc w:val="center"/>
      </w:pPr>
      <w:r>
        <w:rPr>
          <w:rFonts w:ascii="Courier New" w:cs="Courier New" w:eastAsia="Courier New" w:hAnsi="Courier New"/>
          <w:b/>
          <w:bCs/>
          <w:color w:val="1a1a2e"/>
          <w:sz w:val="22"/>
          <w:szCs w:val="22"/>
        </w:rPr>
        <w:t xml:space="preserve">E : (F_G, ξ, O) → K</w:t>
      </w:r>
    </w:p>
    <w:p>
      <w:pPr>
        <w:shd w:fill="f4f6f9" w:val="clear"/>
        <w:spacing w:after="160" w:before="160"/>
        <w:jc w:val="center"/>
      </w:pPr>
      <w:r>
        <w:rPr>
          <w:rFonts w:ascii="Courier New" w:cs="Courier New" w:eastAsia="Courier New" w:hAnsi="Courier New"/>
          <w:b/>
          <w:bCs/>
          <w:color w:val="1a1a2e"/>
          <w:sz w:val="22"/>
          <w:szCs w:val="22"/>
        </w:rPr>
        <w:t xml:space="preserve">E(F_G, ξ, O) = Π_{S*(F_G)}(ξ) · α(O)</w:t>
      </w:r>
    </w:p>
    <w:p>
      <w:pPr>
        <w:spacing w:after="100" w:before="80"/>
        <w:jc w:val="both"/>
      </w:pPr>
      <w:r>
        <w:rPr>
          <w:rFonts w:ascii="Arial" w:cs="Arial" w:eastAsia="Arial" w:hAnsi="Arial"/>
          <w:b w:val="false"/>
          <w:bCs w:val="false"/>
          <w:i w:val="false"/>
          <w:iCs w:val="false"/>
          <w:color w:val="2d2d2d"/>
          <w:sz w:val="22"/>
          <w:szCs w:val="22"/>
        </w:rPr>
        <w:t xml:space="preserve">where:</w:t>
      </w:r>
    </w:p>
    <w:p>
      <w:pPr>
        <w:pStyle w:val="ListParagraph"/>
        <w:numPr>
          <w:ilvl w:val="0"/>
          <w:numId w:val="2"/>
        </w:numPr>
        <w:spacing w:after="60" w:before="60"/>
      </w:pPr>
      <w:r>
        <w:rPr>
          <w:rFonts w:ascii="Arial" w:cs="Arial" w:eastAsia="Arial" w:hAnsi="Arial"/>
          <w:color w:val="2d2d2d"/>
          <w:sz w:val="22"/>
          <w:szCs w:val="22"/>
        </w:rPr>
        <w:t xml:space="preserve">F_G is the governance free energy field: Φ(x, g) = C(x) − T·S(x) + Λ(g)</w:t>
      </w:r>
    </w:p>
    <w:p>
      <w:pPr>
        <w:pStyle w:val="ListParagraph"/>
        <w:numPr>
          <w:ilvl w:val="0"/>
          <w:numId w:val="2"/>
        </w:numPr>
        <w:spacing w:after="60" w:before="60"/>
      </w:pPr>
      <w:r>
        <w:rPr>
          <w:rFonts w:ascii="Arial" w:cs="Arial" w:eastAsia="Arial" w:hAnsi="Arial"/>
          <w:color w:val="2d2d2d"/>
          <w:sz w:val="22"/>
          <w:szCs w:val="22"/>
        </w:rPr>
        <w:t xml:space="preserve">ξ is the re-instantiation signal — the minimal structural signal sufficient to reconstruct S*</w:t>
      </w:r>
    </w:p>
    <w:p>
      <w:pPr>
        <w:pStyle w:val="ListParagraph"/>
        <w:numPr>
          <w:ilvl w:val="0"/>
          <w:numId w:val="2"/>
        </w:numPr>
        <w:spacing w:after="60" w:before="60"/>
      </w:pPr>
      <w:r>
        <w:rPr>
          <w:rFonts w:ascii="Arial" w:cs="Arial" w:eastAsia="Arial" w:hAnsi="Arial"/>
          <w:color w:val="2d2d2d"/>
          <w:sz w:val="22"/>
          <w:szCs w:val="22"/>
        </w:rPr>
        <w:t xml:space="preserve">O is the available obligation resource — the capacity available for the reconstruction operation</w:t>
      </w:r>
    </w:p>
    <w:p>
      <w:pPr>
        <w:pStyle w:val="ListParagraph"/>
        <w:numPr>
          <w:ilvl w:val="0"/>
          <w:numId w:val="2"/>
        </w:numPr>
        <w:spacing w:after="60" w:before="60"/>
      </w:pPr>
      <w:r>
        <w:rPr>
          <w:rFonts w:ascii="Arial" w:cs="Arial" w:eastAsia="Arial" w:hAnsi="Arial"/>
          <w:color w:val="2d2d2d"/>
          <w:sz w:val="22"/>
          <w:szCs w:val="22"/>
        </w:rPr>
        <w:t xml:space="preserve">S*(F_G) is the governing invariant grown by F_G under the runtime law ẋ = Π_A(−∇Φ)</w:t>
      </w:r>
    </w:p>
    <w:p>
      <w:pPr>
        <w:pStyle w:val="ListParagraph"/>
        <w:numPr>
          <w:ilvl w:val="0"/>
          <w:numId w:val="2"/>
        </w:numPr>
        <w:spacing w:after="60" w:before="60"/>
      </w:pPr>
      <w:r>
        <w:rPr>
          <w:rFonts w:ascii="Arial" w:cs="Arial" w:eastAsia="Arial" w:hAnsi="Arial"/>
          <w:color w:val="2d2d2d"/>
          <w:sz w:val="22"/>
          <w:szCs w:val="22"/>
        </w:rPr>
        <w:t xml:space="preserve">α(O) = min(1, O/O_ref) is the obligation-weighted admissibility scaling</w:t>
      </w:r>
    </w:p>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The Echo Operator satisfies six defining properties:</w:t>
      </w:r>
    </w:p>
    <w:p>
      <w:pPr>
        <w:pStyle w:val="ListParagraph"/>
        <w:numPr>
          <w:ilvl w:val="0"/>
          <w:numId w:val="3"/>
        </w:numPr>
        <w:spacing w:after="60" w:before="60"/>
      </w:pPr>
      <w:r>
        <w:rPr>
          <w:rFonts w:ascii="Arial" w:cs="Arial" w:eastAsia="Arial" w:hAnsi="Arial"/>
          <w:color w:val="2d2d2d"/>
          <w:sz w:val="22"/>
          <w:szCs w:val="22"/>
        </w:rPr>
        <w:t xml:space="preserve">Admissibility preservation: E(F_G, ξ, O) ∈ K</w:t>
      </w:r>
    </w:p>
    <w:p>
      <w:pPr>
        <w:pStyle w:val="ListParagraph"/>
        <w:numPr>
          <w:ilvl w:val="0"/>
          <w:numId w:val="3"/>
        </w:numPr>
        <w:spacing w:after="60" w:before="60"/>
      </w:pPr>
      <w:r>
        <w:rPr>
          <w:rFonts w:ascii="Arial" w:cs="Arial" w:eastAsia="Arial" w:hAnsi="Arial"/>
          <w:color w:val="2d2d2d"/>
          <w:sz w:val="22"/>
          <w:szCs w:val="22"/>
        </w:rPr>
        <w:t xml:space="preserve">Idempotence: E(E(F_G, ξ, O)) = E(F_G, ξ, O)</w:t>
      </w:r>
    </w:p>
    <w:p>
      <w:pPr>
        <w:pStyle w:val="ListParagraph"/>
        <w:numPr>
          <w:ilvl w:val="0"/>
          <w:numId w:val="3"/>
        </w:numPr>
        <w:spacing w:after="60" w:before="60"/>
      </w:pPr>
      <w:r>
        <w:rPr>
          <w:rFonts w:ascii="Arial" w:cs="Arial" w:eastAsia="Arial" w:hAnsi="Arial"/>
          <w:color w:val="2d2d2d"/>
          <w:sz w:val="22"/>
          <w:szCs w:val="22"/>
        </w:rPr>
        <w:t xml:space="preserve">Continuity on the constraint boundary ∂K</w:t>
      </w:r>
    </w:p>
    <w:p>
      <w:pPr>
        <w:pStyle w:val="ListParagraph"/>
        <w:numPr>
          <w:ilvl w:val="0"/>
          <w:numId w:val="3"/>
        </w:numPr>
        <w:spacing w:after="60" w:before="60"/>
      </w:pPr>
      <w:r>
        <w:rPr>
          <w:rFonts w:ascii="Arial" w:cs="Arial" w:eastAsia="Arial" w:hAnsi="Arial"/>
          <w:color w:val="2d2d2d"/>
          <w:sz w:val="22"/>
          <w:szCs w:val="22"/>
        </w:rPr>
        <w:t xml:space="preserve">Convergence to S*(F_G) at geometric rate κ_H under uniform horizon stiffness</w:t>
      </w:r>
    </w:p>
    <w:p>
      <w:pPr>
        <w:pStyle w:val="ListParagraph"/>
        <w:numPr>
          <w:ilvl w:val="0"/>
          <w:numId w:val="3"/>
        </w:numPr>
        <w:spacing w:after="60" w:before="60"/>
      </w:pPr>
      <w:r>
        <w:rPr>
          <w:rFonts w:ascii="Arial" w:cs="Arial" w:eastAsia="Arial" w:hAnsi="Arial"/>
          <w:color w:val="2d2d2d"/>
          <w:sz w:val="22"/>
          <w:szCs w:val="22"/>
        </w:rPr>
        <w:t xml:space="preserve">Field determinism: identical F_G produces identical S*(F_G) across all instantiations</w:t>
      </w:r>
    </w:p>
    <w:p>
      <w:pPr>
        <w:pStyle w:val="ListParagraph"/>
        <w:numPr>
          <w:ilvl w:val="0"/>
          <w:numId w:val="3"/>
        </w:numPr>
        <w:spacing w:after="60" w:before="60"/>
      </w:pPr>
      <w:r>
        <w:rPr>
          <w:rFonts w:ascii="Arial" w:cs="Arial" w:eastAsia="Arial" w:hAnsi="Arial"/>
          <w:color w:val="2d2d2d"/>
          <w:sz w:val="22"/>
          <w:szCs w:val="22"/>
        </w:rPr>
        <w:t xml:space="preserve">Signal sufficiency: any ξ ∈ K with O ≥ O_min produces the same S*(F_G)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single" w:color="0a6abf" w:sz="12"/>
              <w:left w:val="single" w:color="0a6abf" w:sz="24"/>
              <w:bottom w:val="single" w:color="cccccc" w:sz="4"/>
              <w:right w:val="none" w:color="FFFFFF" w:sz="0"/>
            </w:tcBorders>
            <w:shd w:fill="dce9f5" w:val="clear"/>
            <w:tcMar>
              <w:top w:type="dxa" w:w="120"/>
              <w:left w:type="dxa" w:w="200"/>
              <w:bottom w:type="dxa" w:w="120"/>
              <w:right w:type="dxa" w:w="120"/>
            </w:tcMar>
          </w:tcPr>
          <w:p>
            <w:pPr>
              <w:spacing w:after="60" w:before="0"/>
            </w:pPr>
            <w:r>
              <w:rPr>
                <w:rFonts w:ascii="Arial" w:cs="Arial" w:eastAsia="Arial" w:hAnsi="Arial"/>
                <w:b/>
                <w:bCs/>
                <w:caps/>
                <w:color w:val="0a6abf"/>
                <w:sz w:val="20"/>
                <w:szCs w:val="20"/>
              </w:rPr>
              <w:t xml:space="preserve">Lossless Reconstruction Property</w:t>
            </w:r>
          </w:p>
          <w:p>
            <w:pPr>
              <w:spacing w:after="0" w:before="0"/>
              <w:jc w:val="both"/>
            </w:pPr>
            <w:r>
              <w:rPr>
                <w:rFonts w:ascii="Arial" w:cs="Arial" w:eastAsia="Arial" w:hAnsi="Arial"/>
                <w:i/>
                <w:iCs/>
                <w:color w:val="1a1a2e"/>
                <w:sz w:val="22"/>
                <w:szCs w:val="22"/>
              </w:rPr>
              <w:t xml:space="preserve">The reconstruction is lossless: for any behavioral observable H, the reconstructed state satisfies H(E(F_G, ξ, O)) ≈ H(Z) within L_H · ‖E − Z‖_W, where L_H is the Lipschitz constant of H with respect to the governance metric W. When field compatibility is unity and O ≥ O_ref, reconstruction is exact. S* is not recovered from stored state. It is re-grown from the signal and the field.</w:t>
            </w:r>
          </w:p>
        </w:tc>
      </w:tr>
    </w:tbl>
    <w:p>
      <w:pPr>
        <w:pStyle w:val="Heading2"/>
        <w:spacing w:after="120" w:before="300"/>
      </w:pPr>
      <w:r>
        <w:rPr>
          <w:rFonts w:ascii="Arial" w:cs="Arial" w:eastAsia="Arial" w:hAnsi="Arial"/>
          <w:b/>
          <w:bCs/>
          <w:color w:val="2e75b6"/>
          <w:sz w:val="28"/>
          <w:szCs w:val="28"/>
        </w:rPr>
        <w:t xml:space="preserve">1.2  EOLRP — The Lossless Reconstruction Protocol</w:t>
      </w:r>
    </w:p>
    <w:p>
      <w:pPr>
        <w:spacing w:after="100" w:before="80"/>
        <w:jc w:val="both"/>
      </w:pPr>
      <w:r>
        <w:rPr>
          <w:rFonts w:ascii="Arial" w:cs="Arial" w:eastAsia="Arial" w:hAnsi="Arial"/>
          <w:b w:val="false"/>
          <w:bCs w:val="false"/>
          <w:i w:val="false"/>
          <w:iCs w:val="false"/>
          <w:color w:val="2d2d2d"/>
          <w:sz w:val="22"/>
          <w:szCs w:val="22"/>
        </w:rPr>
        <w:t xml:space="preserve">The Echo Operator Lossless Reconstruction Protocol (EOLRP) specifies the complete architecture for applying the Echo Operator as a deterministic, structural, and exchangeable reconstruction layer. EOLRP has three defining properties: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Property</w:t>
            </w:r>
          </w:p>
        </w:tc>
        <w:tc>
          <w:tcPr>
            <w:tcW w:type="dxa" w:w="396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Formal Statement</w:t>
            </w:r>
          </w:p>
        </w:tc>
        <w:tc>
          <w:tcPr>
            <w:tcW w:type="dxa" w:w="396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Biological Correlate</w:t>
            </w:r>
          </w:p>
        </w:tc>
      </w:tr>
      <w:tr>
        <w:tc>
          <w:tcPr>
            <w:tcW w:type="dxa" w:w="14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Deterministic</w:t>
            </w:r>
          </w:p>
        </w:tc>
        <w:tc>
          <w:tcPr>
            <w:tcW w:type="dxa" w:w="39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Identical F_G + ξ → identical S* on any instantiation, regardless of transmission path or hardware</w:t>
            </w:r>
          </w:p>
        </w:tc>
        <w:tc>
          <w:tcPr>
            <w:tcW w:type="dxa" w:w="39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Identical cell cycle state + RPA signal → identical replication restart outcome, regardless of which cell or which genomic locus</w:t>
            </w:r>
          </w:p>
        </w:tc>
      </w:tr>
      <w:tr>
        <w:tc>
          <w:tcPr>
            <w:tcW w:type="dxa" w:w="144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Structural</w:t>
            </w:r>
          </w:p>
        </w:tc>
        <w:tc>
          <w:tcPr>
            <w:tcW w:type="dxa" w:w="39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S* is field-grown from ξ, not decompressed from stored payload. The field is the ledger.</w:t>
            </w:r>
          </w:p>
        </w:tc>
        <w:tc>
          <w:tcPr>
            <w:tcW w:type="dxa" w:w="39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Replication restart reconstructs the governing replication state from the fork structure, not from a stored copy of the pre-stall state</w:t>
            </w:r>
          </w:p>
        </w:tc>
      </w:tr>
      <w:tr>
        <w:tc>
          <w:tcPr>
            <w:tcW w:type="dxa" w:w="14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Exchangeable</w:t>
            </w:r>
          </w:p>
        </w:tc>
        <w:tc>
          <w:tcPr>
            <w:tcW w:type="dxa" w:w="39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Any valid ξ through any compatible channel produces the same S* on any compatible receiving domain</w:t>
            </w:r>
          </w:p>
        </w:tc>
        <w:tc>
          <w:tcPr>
            <w:tcW w:type="dxa" w:w="39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Fork restart machinery (RPA, BRCA2, RAD51, SMARCAL1) reconstructs the governed fork state from any compatible ssDNA signal</w:t>
            </w:r>
          </w:p>
        </w:tc>
      </w:tr>
    </w:tbl>
    <w:p>
      <w:pPr>
        <w:pStyle w:val="Heading2"/>
        <w:spacing w:after="120" w:before="300"/>
      </w:pPr>
      <w:r>
        <w:rPr>
          <w:rFonts w:ascii="Arial" w:cs="Arial" w:eastAsia="Arial" w:hAnsi="Arial"/>
          <w:b/>
          <w:bCs/>
          <w:color w:val="2e75b6"/>
          <w:sz w:val="28"/>
          <w:szCs w:val="28"/>
        </w:rPr>
        <w:t xml:space="preserve">1.3  The Threefold Cord Projection</w:t>
      </w:r>
    </w:p>
    <w:p>
      <w:pPr>
        <w:spacing w:after="100" w:before="80"/>
        <w:jc w:val="both"/>
      </w:pPr>
      <w:r>
        <w:rPr>
          <w:rFonts w:ascii="Arial" w:cs="Arial" w:eastAsia="Arial" w:hAnsi="Arial"/>
          <w:b w:val="false"/>
          <w:bCs w:val="false"/>
          <w:i w:val="false"/>
          <w:iCs w:val="false"/>
          <w:color w:val="2d2d2d"/>
          <w:sz w:val="22"/>
          <w:szCs w:val="22"/>
        </w:rPr>
        <w:t xml:space="preserve">The Lopez Threefold Cord Projection is defined as:</w:t>
      </w:r>
    </w:p>
    <w:p>
      <w:pPr>
        <w:shd w:fill="f4f6f9" w:val="clear"/>
        <w:spacing w:after="160" w:before="160"/>
        <w:jc w:val="center"/>
      </w:pPr>
      <w:r>
        <w:rPr>
          <w:rFonts w:ascii="Courier New" w:cs="Courier New" w:eastAsia="Courier New" w:hAnsi="Courier New"/>
          <w:b/>
          <w:bCs/>
          <w:color w:val="1a1a2e"/>
          <w:sz w:val="22"/>
          <w:szCs w:val="22"/>
        </w:rPr>
        <w:t xml:space="preserve">Π_total = Π_state ∘ Π_F ∘ Π_decoherence</w:t>
      </w:r>
    </w:p>
    <w:p>
      <w:pPr>
        <w:spacing w:after="100" w:before="80"/>
        <w:jc w:val="both"/>
      </w:pPr>
      <w:r>
        <w:rPr>
          <w:rFonts w:ascii="Arial" w:cs="Arial" w:eastAsia="Arial" w:hAnsi="Arial"/>
          <w:b w:val="false"/>
          <w:bCs w:val="false"/>
          <w:i w:val="false"/>
          <w:iCs w:val="false"/>
          <w:color w:val="2d2d2d"/>
          <w:sz w:val="22"/>
          <w:szCs w:val="22"/>
        </w:rPr>
        <w:t xml:space="preserve">Three independent projectors, three independent invariants, three independent collapse modes: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880"/>
        <w:gridCol w:w="3240"/>
      </w:tblGrid>
      <w:tr>
        <w:trPr>
          <w:tblHeader/>
        </w:trPr>
        <w:tc>
          <w:tcPr>
            <w:tcW w:type="dxa" w:w="144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Projector</w:t>
            </w:r>
          </w:p>
        </w:tc>
        <w:tc>
          <w:tcPr>
            <w:tcW w:type="dxa" w:w="180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Domain</w:t>
            </w:r>
          </w:p>
        </w:tc>
        <w:tc>
          <w:tcPr>
            <w:tcW w:type="dxa" w:w="288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Invariant Preserved</w:t>
            </w:r>
          </w:p>
        </w:tc>
        <w:tc>
          <w:tcPr>
            <w:tcW w:type="dxa" w:w="324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Collapse Mode if Removed</w:t>
            </w:r>
          </w:p>
        </w:tc>
      </w:tr>
      <w:tr>
        <w:tc>
          <w:tcPr>
            <w:tcW w:type="dxa" w:w="14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Π_state</w:t>
            </w:r>
          </w:p>
        </w:tc>
        <w:tc>
          <w:tcPr>
            <w:tcW w:type="dxa" w:w="18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State space</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System remains within viability kernel K</w:t>
            </w:r>
          </w:p>
        </w:tc>
        <w:tc>
          <w:tcPr>
            <w:tcW w:type="dxa" w:w="32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Structural violation — system exits K</w:t>
            </w:r>
          </w:p>
        </w:tc>
      </w:tr>
      <w:tr>
        <w:tc>
          <w:tcPr>
            <w:tcW w:type="dxa" w:w="144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Π_F</w:t>
            </w:r>
          </w:p>
        </w:tc>
        <w:tc>
          <w:tcPr>
            <w:tcW w:type="dxa" w:w="18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Information space / fidelity</w:t>
            </w:r>
          </w:p>
        </w:tc>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Representational fidelity to governing template</w:t>
            </w:r>
          </w:p>
        </w:tc>
        <w:tc>
          <w:tcPr>
            <w:tcW w:type="dxa" w:w="324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Representational corruption — fidelity lost</w:t>
            </w:r>
          </w:p>
        </w:tc>
      </w:tr>
      <w:tr>
        <w:tc>
          <w:tcPr>
            <w:tcW w:type="dxa" w:w="14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Π_decoherence</w:t>
            </w:r>
          </w:p>
        </w:tc>
        <w:tc>
          <w:tcPr>
            <w:tcW w:type="dxa" w:w="18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Operator space / decoherence defense</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Governance signal orthogonal to noise subspace</w:t>
            </w:r>
          </w:p>
        </w:tc>
        <w:tc>
          <w:tcPr>
            <w:tcW w:type="dxa" w:w="32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Quantum decoherence — coherence lost</w:t>
            </w:r>
          </w:p>
        </w:tc>
      </w:tr>
    </w:tbl>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All three projectors must hold simultaneously. The Threefold Cord provides the triple fidelity guarantee. No single projector carries the full load. Remove any one and a specific, distinct failure mode results.</w:t>
      </w:r>
    </w:p>
    <w:p>
      <w:pPr>
        <w:pStyle w:val="Heading2"/>
        <w:spacing w:after="120" w:before="300"/>
      </w:pPr>
      <w:r>
        <w:rPr>
          <w:rFonts w:ascii="Arial" w:cs="Arial" w:eastAsia="Arial" w:hAnsi="Arial"/>
          <w:b/>
          <w:bCs/>
          <w:color w:val="2e75b6"/>
          <w:sz w:val="28"/>
          <w:szCs w:val="28"/>
        </w:rPr>
        <w:t xml:space="preserve">1.4  The Spectral Observer</w:t>
      </w:r>
    </w:p>
    <w:p>
      <w:pPr>
        <w:spacing w:after="100" w:before="80"/>
        <w:jc w:val="both"/>
      </w:pPr>
      <w:r>
        <w:rPr>
          <w:rFonts w:ascii="Arial" w:cs="Arial" w:eastAsia="Arial" w:hAnsi="Arial"/>
          <w:b w:val="false"/>
          <w:bCs w:val="false"/>
          <w:i w:val="false"/>
          <w:iCs w:val="false"/>
          <w:color w:val="2d2d2d"/>
          <w:sz w:val="22"/>
          <w:szCs w:val="22"/>
        </w:rPr>
        <w:t xml:space="preserve">The Spectral Observer monitors the eigenvalue spread of the governance operator across the system trajectory. Divergence is flagged when:</w:t>
      </w:r>
    </w:p>
    <w:p>
      <w:pPr>
        <w:shd w:fill="f4f6f9" w:val="clear"/>
        <w:spacing w:after="160" w:before="160"/>
        <w:jc w:val="center"/>
      </w:pPr>
      <w:r>
        <w:rPr>
          <w:rFonts w:ascii="Courier New" w:cs="Courier New" w:eastAsia="Courier New" w:hAnsi="Courier New"/>
          <w:b/>
          <w:bCs/>
          <w:color w:val="1a1a2e"/>
          <w:sz w:val="22"/>
          <w:szCs w:val="22"/>
        </w:rPr>
        <w:t xml:space="preserve">|γ(x) − γ*| &gt; δ_S</w:t>
      </w:r>
    </w:p>
    <w:p>
      <w:pPr>
        <w:spacing w:after="100" w:before="80"/>
        <w:jc w:val="both"/>
      </w:pPr>
      <w:r>
        <w:rPr>
          <w:rFonts w:ascii="Arial" w:cs="Arial" w:eastAsia="Arial" w:hAnsi="Arial"/>
          <w:b w:val="false"/>
          <w:bCs w:val="false"/>
          <w:i w:val="false"/>
          <w:iCs w:val="false"/>
          <w:color w:val="2d2d2d"/>
          <w:sz w:val="22"/>
          <w:szCs w:val="22"/>
        </w:rPr>
        <w:t xml:space="preserve">where γ(x) = max Re(λ(J(x))) is the spectral divergence measure (maximum real part of the Jacobian eigenvalues), γ* is the target spectral state at S*, and δ_S is the spectral divergence tolerance. The Spectral Observer triggers rescue operator deployment before the system exits K — detection precedes collapse.</w:t>
      </w:r>
    </w:p>
    <w:p>
      <w:pPr>
        <w:pStyle w:val="Heading2"/>
        <w:spacing w:after="120" w:before="300"/>
      </w:pPr>
      <w:r>
        <w:rPr>
          <w:rFonts w:ascii="Arial" w:cs="Arial" w:eastAsia="Arial" w:hAnsi="Arial"/>
          <w:b/>
          <w:bCs/>
          <w:color w:val="2e75b6"/>
          <w:sz w:val="28"/>
          <w:szCs w:val="28"/>
        </w:rPr>
        <w:t xml:space="preserve">1.5  The Lindblad Rescue Operators</w:t>
      </w:r>
    </w:p>
    <w:p>
      <w:pPr>
        <w:spacing w:after="100" w:before="80"/>
        <w:jc w:val="both"/>
      </w:pPr>
      <w:r>
        <w:rPr>
          <w:rFonts w:ascii="Arial" w:cs="Arial" w:eastAsia="Arial" w:hAnsi="Arial"/>
          <w:b w:val="false"/>
          <w:bCs w:val="false"/>
          <w:i w:val="false"/>
          <w:iCs w:val="false"/>
          <w:color w:val="2d2d2d"/>
          <w:sz w:val="22"/>
          <w:szCs w:val="22"/>
        </w:rPr>
        <w:t xml:space="preserve">The Lindblad Rescue Operators are constructed in the orthogonal complement of the dominant decoherence channels:</w:t>
      </w:r>
    </w:p>
    <w:p>
      <w:pPr>
        <w:shd w:fill="f4f6f9" w:val="clear"/>
        <w:spacing w:after="160" w:before="160"/>
        <w:jc w:val="center"/>
      </w:pPr>
      <w:r>
        <w:rPr>
          <w:rFonts w:ascii="Courier New" w:cs="Courier New" w:eastAsia="Courier New" w:hAnsi="Courier New"/>
          <w:b/>
          <w:bCs/>
          <w:color w:val="1a1a2e"/>
          <w:sz w:val="22"/>
          <w:szCs w:val="22"/>
        </w:rPr>
        <w:t xml:space="preserve">L_rescue ⊥ span{L_j} : Tr(L_j† · L_rescue) = 0 ∀j</w:t>
      </w:r>
    </w:p>
    <w:p>
      <w:pPr>
        <w:spacing w:after="100" w:before="80"/>
        <w:jc w:val="both"/>
      </w:pPr>
      <w:r>
        <w:rPr>
          <w:rFonts w:ascii="Arial" w:cs="Arial" w:eastAsia="Arial" w:hAnsi="Arial"/>
          <w:b w:val="false"/>
          <w:bCs w:val="false"/>
          <w:i w:val="false"/>
          <w:iCs w:val="false"/>
          <w:color w:val="2d2d2d"/>
          <w:sz w:val="22"/>
          <w:szCs w:val="22"/>
        </w:rPr>
        <w:t xml:space="preserve">This orthogonality condition is the key architectural constraint. The rescue operator acts where the decoherence noise cannot reach it. It cannot be washed out by the process that produced the stall. It does not reintroduce the failure mode.</w:t>
      </w:r>
    </w:p>
    <w:p>
      <w:r>
        <w:br/>
      </w:r>
    </w:p>
    <w:p>
      <w:pPr>
        <w:pStyle w:val="Heading1"/>
        <w:pBdr>
          <w:bottom w:val="single" w:color="0a6abf" w:sz="8" w:space="6"/>
        </w:pBdr>
        <w:spacing w:after="180" w:before="440"/>
      </w:pPr>
      <w:r>
        <w:rPr>
          <w:rFonts w:ascii="Arial" w:cs="Arial" w:eastAsia="Arial" w:hAnsi="Arial"/>
          <w:b/>
          <w:bCs/>
          <w:color w:val="1a3a5c"/>
          <w:sz w:val="36"/>
          <w:szCs w:val="36"/>
        </w:rPr>
        <w:t xml:space="preserve">2. The Formal Mapping: Replication Restart as EOLRP</w:t>
      </w:r>
    </w:p>
    <w:p>
      <w:pPr>
        <w:pStyle w:val="Heading2"/>
        <w:spacing w:after="120" w:before="300"/>
      </w:pPr>
      <w:r>
        <w:rPr>
          <w:rFonts w:ascii="Arial" w:cs="Arial" w:eastAsia="Arial" w:hAnsi="Arial"/>
          <w:b/>
          <w:bCs/>
          <w:color w:val="2e75b6"/>
          <w:sz w:val="28"/>
          <w:szCs w:val="28"/>
        </w:rPr>
        <w:t xml:space="preserve">2.1  The Stalled Fork as EOLRP Activation Event</w:t>
      </w:r>
    </w:p>
    <w:p>
      <w:pPr>
        <w:spacing w:after="100" w:before="80"/>
        <w:jc w:val="both"/>
      </w:pPr>
      <w:r>
        <w:rPr>
          <w:rFonts w:ascii="Arial" w:cs="Arial" w:eastAsia="Arial" w:hAnsi="Arial"/>
          <w:b w:val="false"/>
          <w:bCs w:val="false"/>
          <w:i w:val="false"/>
          <w:iCs w:val="false"/>
          <w:color w:val="2d2d2d"/>
          <w:sz w:val="22"/>
          <w:szCs w:val="22"/>
        </w:rPr>
        <w:t xml:space="preserve">When the replication fork encounters a barrier — a DNA lesion, a PARP-trapped site, a protein-DNA complex, a G-quadruplex structure — it stalls. This is the EOLRP activation event. The governing invariant S* — the admissible replication state — has been lost at the stall site. The replication machinery cannot proceed because it has exited the viability kernel K.</w:t>
      </w:r>
    </w:p>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The stall does not destroy the information needed to reconstruct S*. It exposes it. The RPA-coated ssDNA at the stalled fork is the re-instantiation signal ξ — the minimal structural signal from which S* can be re-grown. ξ is not a copy of the pre-stall state. It is the structural signature of the governance failure that encodes everything needed for field-governed reconstruction.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single" w:color="1a5c3a" w:sz="12"/>
              <w:left w:val="single" w:color="1a5c3a" w:sz="24"/>
              <w:bottom w:val="single" w:color="cccccc" w:sz="4"/>
              <w:right w:val="none" w:color="FFFFFF" w:sz="0"/>
            </w:tcBorders>
            <w:shd w:fill="e8f5ee" w:val="clear"/>
            <w:tcMar>
              <w:top w:type="dxa" w:w="120"/>
              <w:left w:type="dxa" w:w="200"/>
              <w:bottom w:type="dxa" w:w="120"/>
              <w:right w:type="dxa" w:w="120"/>
            </w:tcMar>
          </w:tcPr>
          <w:p>
            <w:pPr>
              <w:spacing w:after="60" w:before="0"/>
            </w:pPr>
            <w:r>
              <w:rPr>
                <w:rFonts w:ascii="Arial" w:cs="Arial" w:eastAsia="Arial" w:hAnsi="Arial"/>
                <w:b/>
                <w:bCs/>
                <w:caps/>
                <w:color w:val="1a5c3a"/>
                <w:sz w:val="20"/>
                <w:szCs w:val="20"/>
              </w:rPr>
              <w:t xml:space="preserve">The Re-Instantiation Signal</w:t>
            </w:r>
          </w:p>
          <w:p>
            <w:pPr>
              <w:spacing w:after="0" w:before="0"/>
              <w:jc w:val="both"/>
            </w:pPr>
            <w:r>
              <w:rPr>
                <w:rFonts w:ascii="Arial" w:cs="Arial" w:eastAsia="Arial" w:hAnsi="Arial"/>
                <w:i/>
                <w:iCs/>
                <w:color w:val="1a1a2e"/>
                <w:sz w:val="22"/>
                <w:szCs w:val="22"/>
              </w:rPr>
              <w:t xml:space="preserve">ξ = RPA-coated ssDNA at the stalled fork. This is the biological re-instantiation signal. It carries: the location of the stall, the nature of the barrier (through ATR-ATRIP recognition of RPA-ssDNA), the extent of ssDNA exposure, and the structural context for restart. It does not carry the pre-stall state. The Echo Operator re-grows S* from ξ using the local field F_G. The field is the ledger.</w:t>
            </w:r>
          </w:p>
        </w:tc>
      </w:tr>
    </w:tbl>
    <w:p>
      <w:pPr>
        <w:pStyle w:val="Heading2"/>
        <w:spacing w:after="120" w:before="300"/>
      </w:pPr>
      <w:r>
        <w:rPr>
          <w:rFonts w:ascii="Arial" w:cs="Arial" w:eastAsia="Arial" w:hAnsi="Arial"/>
          <w:b/>
          <w:bCs/>
          <w:color w:val="2e75b6"/>
          <w:sz w:val="28"/>
          <w:szCs w:val="28"/>
        </w:rPr>
        <w:t xml:space="preserve">2.2  The Governance Free Energy Field F_G</w:t>
      </w:r>
    </w:p>
    <w:p>
      <w:pPr>
        <w:spacing w:after="100" w:before="80"/>
        <w:jc w:val="both"/>
      </w:pPr>
      <w:r>
        <w:rPr>
          <w:rFonts w:ascii="Arial" w:cs="Arial" w:eastAsia="Arial" w:hAnsi="Arial"/>
          <w:b w:val="false"/>
          <w:bCs w:val="false"/>
          <w:i w:val="false"/>
          <w:iCs w:val="false"/>
          <w:color w:val="2d2d2d"/>
          <w:sz w:val="22"/>
          <w:szCs w:val="22"/>
        </w:rPr>
        <w:t xml:space="preserve">The governance free energy field F_G is the set of all state-dependent parameters that determine which reconstruction is admissible. In the replication restart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5d5e8" w:sz="1"/>
              <w:left w:val="single" w:color="c5d5e8" w:sz="1"/>
              <w:bottom w:val="single" w:color="c5d5e8" w:sz="1"/>
              <w:right w:val="single" w:color="c5d5e8"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F_G Component</w:t>
            </w:r>
          </w:p>
        </w:tc>
        <w:tc>
          <w:tcPr>
            <w:tcW w:type="dxa" w:w="2880"/>
            <w:tcBorders>
              <w:top w:val="single" w:color="c5d5e8" w:sz="1"/>
              <w:left w:val="single" w:color="c5d5e8" w:sz="1"/>
              <w:bottom w:val="single" w:color="c5d5e8" w:sz="1"/>
              <w:right w:val="single" w:color="c5d5e8"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Biological Implementation</w:t>
            </w:r>
          </w:p>
        </w:tc>
        <w:tc>
          <w:tcPr>
            <w:tcW w:type="dxa" w:w="4320"/>
            <w:tcBorders>
              <w:top w:val="single" w:color="c5d5e8" w:sz="1"/>
              <w:left w:val="single" w:color="c5d5e8" w:sz="1"/>
              <w:bottom w:val="single" w:color="c5d5e8" w:sz="1"/>
              <w:right w:val="single" w:color="c5d5e8"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Governance Function</w:t>
            </w:r>
          </w:p>
        </w:tc>
      </w:tr>
      <w:tr>
        <w:tc>
          <w:tcPr>
            <w:tcW w:type="dxa" w:w="21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Capacity bound C(x) ≤ C_max</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Cell cycle phase (S/G2 = HR available, G1 = NHEJ only)</w:t>
            </w:r>
          </w:p>
        </w:tc>
        <w:tc>
          <w:tcPr>
            <w:tcW w:type="dxa" w:w="43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Restricts available repair pathways to phase-appropriate modes</w:t>
            </w:r>
          </w:p>
        </w:tc>
      </w:tr>
      <w:tr>
        <w:tc>
          <w:tcPr>
            <w:tcW w:type="dxa" w:w="21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Fidelity bound D_B(ρ, ρ_ref) ≤ ε_F</w:t>
            </w:r>
          </w:p>
        </w:tc>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BRCA1/2 / RAD51 availability and fidelity</w:t>
            </w:r>
          </w:p>
        </w:tc>
        <w:tc>
          <w:tcPr>
            <w:tcW w:type="dxa" w:w="432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Bounds reconstruction accuracy — HR provides high-fidelity F_G, NHEJ lower fidelity</w:t>
            </w:r>
          </w:p>
        </w:tc>
      </w:tr>
      <w:tr>
        <w:tc>
          <w:tcPr>
            <w:tcW w:type="dxa" w:w="21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Spectral condition |γ_Q − ρ*| ≤ δ_S</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ATR-CHK1 spectral divergence signal</w:t>
            </w:r>
          </w:p>
        </w:tc>
        <w:tc>
          <w:tcPr>
            <w:tcW w:type="dxa" w:w="43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Monitors divergence from S* in real time</w:t>
            </w:r>
          </w:p>
        </w:tc>
      </w:tr>
      <w:tr>
        <w:tc>
          <w:tcPr>
            <w:tcW w:type="dxa" w:w="21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Obligation ceiling O ≤ O_max</w:t>
            </w:r>
          </w:p>
        </w:tc>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Total repair pathway capacity available</w:t>
            </w:r>
          </w:p>
        </w:tc>
        <w:tc>
          <w:tcPr>
            <w:tcW w:type="dxa" w:w="432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Bounds the reconstruction investment — sets α(O)</w:t>
            </w:r>
          </w:p>
        </w:tc>
      </w:tr>
      <w:tr>
        <w:tc>
          <w:tcPr>
            <w:tcW w:type="dxa" w:w="21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Continuity guard ‖u_G‖ ≤ κ*O</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Fork reversal / repriming / BIR pathway availability</w:t>
            </w:r>
          </w:p>
        </w:tc>
        <w:tc>
          <w:tcPr>
            <w:tcW w:type="dxa" w:w="43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Ensures continuous path from stall back to S*</w:t>
            </w:r>
          </w:p>
        </w:tc>
      </w:tr>
    </w:tbl>
    <w:p>
      <w:pPr>
        <w:pStyle w:val="Heading2"/>
        <w:spacing w:after="120" w:before="300"/>
      </w:pPr>
      <w:r>
        <w:rPr>
          <w:rFonts w:ascii="Arial" w:cs="Arial" w:eastAsia="Arial" w:hAnsi="Arial"/>
          <w:b/>
          <w:bCs/>
          <w:color w:val="2e75b6"/>
          <w:sz w:val="28"/>
          <w:szCs w:val="28"/>
        </w:rPr>
        <w:t xml:space="preserve">2.3  The Echo Operator at the Stalled Fork</w:t>
      </w:r>
    </w:p>
    <w:p>
      <w:pPr>
        <w:spacing w:after="100" w:before="80"/>
        <w:jc w:val="both"/>
      </w:pPr>
      <w:r>
        <w:rPr>
          <w:rFonts w:ascii="Arial" w:cs="Arial" w:eastAsia="Arial" w:hAnsi="Arial"/>
          <w:b w:val="false"/>
          <w:bCs w:val="false"/>
          <w:i w:val="false"/>
          <w:iCs w:val="false"/>
          <w:color w:val="2d2d2d"/>
          <w:sz w:val="22"/>
          <w:szCs w:val="22"/>
        </w:rPr>
        <w:t xml:space="preserve">The Echo Operator evaluates at the stalled fork as follows:</w:t>
      </w:r>
    </w:p>
    <w:p>
      <w:pPr>
        <w:shd w:fill="f4f6f9" w:val="clear"/>
        <w:spacing w:after="160" w:before="160"/>
        <w:jc w:val="center"/>
      </w:pPr>
      <w:r>
        <w:rPr>
          <w:rFonts w:ascii="Courier New" w:cs="Courier New" w:eastAsia="Courier New" w:hAnsi="Courier New"/>
          <w:b/>
          <w:bCs/>
          <w:color w:val="1a1a2e"/>
          <w:sz w:val="22"/>
          <w:szCs w:val="22"/>
        </w:rPr>
        <w:t xml:space="preserve">E(F_G, ξ_{RPA}, O_{repair}) = Π_{S*(F_G)}(ξ_{RPA}) · α(O_{repair})</w:t>
      </w:r>
    </w:p>
    <w:p>
      <w:pPr>
        <w:spacing w:after="100" w:before="80"/>
        <w:jc w:val="both"/>
      </w:pPr>
      <w:r>
        <w:rPr>
          <w:rFonts w:ascii="Arial" w:cs="Arial" w:eastAsia="Arial" w:hAnsi="Arial"/>
          <w:b w:val="false"/>
          <w:bCs w:val="false"/>
          <w:i w:val="false"/>
          <w:iCs w:val="false"/>
          <w:color w:val="2d2d2d"/>
          <w:sz w:val="22"/>
          <w:szCs w:val="22"/>
        </w:rPr>
        <w:t xml:space="preserve">where:</w:t>
      </w:r>
    </w:p>
    <w:p>
      <w:pPr>
        <w:pStyle w:val="ListParagraph"/>
        <w:numPr>
          <w:ilvl w:val="0"/>
          <w:numId w:val="2"/>
        </w:numPr>
        <w:spacing w:after="60" w:before="60"/>
      </w:pPr>
      <w:r>
        <w:rPr>
          <w:rFonts w:ascii="Arial" w:cs="Arial" w:eastAsia="Arial" w:hAnsi="Arial"/>
          <w:color w:val="2d2d2d"/>
          <w:sz w:val="22"/>
          <w:szCs w:val="22"/>
        </w:rPr>
        <w:t xml:space="preserve">ξ_{RPA} is the RPA-coated ssDNA re-instantiation signal</w:t>
      </w:r>
    </w:p>
    <w:p>
      <w:pPr>
        <w:pStyle w:val="ListParagraph"/>
        <w:numPr>
          <w:ilvl w:val="0"/>
          <w:numId w:val="2"/>
        </w:numPr>
        <w:spacing w:after="60" w:before="60"/>
      </w:pPr>
      <w:r>
        <w:rPr>
          <w:rFonts w:ascii="Arial" w:cs="Arial" w:eastAsia="Arial" w:hAnsi="Arial"/>
          <w:color w:val="2d2d2d"/>
          <w:sz w:val="22"/>
          <w:szCs w:val="22"/>
        </w:rPr>
        <w:t xml:space="preserve">F_G encodes cell cycle state, HR availability, CHK1 activation level, and fork reversal machinery status</w:t>
      </w:r>
    </w:p>
    <w:p>
      <w:pPr>
        <w:pStyle w:val="ListParagraph"/>
        <w:numPr>
          <w:ilvl w:val="0"/>
          <w:numId w:val="2"/>
        </w:numPr>
        <w:spacing w:after="60" w:before="60"/>
      </w:pPr>
      <w:r>
        <w:rPr>
          <w:rFonts w:ascii="Arial" w:cs="Arial" w:eastAsia="Arial" w:hAnsi="Arial"/>
          <w:color w:val="2d2d2d"/>
          <w:sz w:val="22"/>
          <w:szCs w:val="22"/>
        </w:rPr>
        <w:t xml:space="preserve">O_{repair} is the available repair pathway capacity — the obligation resource</w:t>
      </w:r>
    </w:p>
    <w:p>
      <w:pPr>
        <w:pStyle w:val="ListParagraph"/>
        <w:numPr>
          <w:ilvl w:val="0"/>
          <w:numId w:val="2"/>
        </w:numPr>
        <w:spacing w:after="60" w:before="60"/>
      </w:pPr>
      <w:r>
        <w:rPr>
          <w:rFonts w:ascii="Arial" w:cs="Arial" w:eastAsia="Arial" w:hAnsi="Arial"/>
          <w:color w:val="2d2d2d"/>
          <w:sz w:val="22"/>
          <w:szCs w:val="22"/>
        </w:rPr>
        <w:t xml:space="preserve">S*(F_G) is the admissible replication state for the current field conditions</w:t>
      </w:r>
    </w:p>
    <w:p>
      <w:pPr>
        <w:pStyle w:val="ListParagraph"/>
        <w:numPr>
          <w:ilvl w:val="0"/>
          <w:numId w:val="2"/>
        </w:numPr>
        <w:spacing w:after="60" w:before="60"/>
      </w:pPr>
      <w:r>
        <w:rPr>
          <w:rFonts w:ascii="Arial" w:cs="Arial" w:eastAsia="Arial" w:hAnsi="Arial"/>
          <w:color w:val="2d2d2d"/>
          <w:sz w:val="22"/>
          <w:szCs w:val="22"/>
        </w:rPr>
        <w:t xml:space="preserve">α(O_{repair}) = min(1, O_{repair}/O_ref) scales the reconstruction by available capacity</w:t>
      </w:r>
    </w:p>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The six EOLRP properties hold in the biological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c5d5e8" w:sz="1"/>
              <w:left w:val="single" w:color="c5d5e8" w:sz="1"/>
              <w:bottom w:val="single" w:color="c5d5e8" w:sz="1"/>
              <w:right w:val="single" w:color="c5d5e8" w:sz="1"/>
            </w:tcBorders>
            <w:shd w:fill="1a5c3a" w:val="clear"/>
            <w:tcMar>
              <w:top w:type="dxa" w:w="90"/>
              <w:left w:type="dxa" w:w="130"/>
              <w:bottom w:type="dxa" w:w="90"/>
              <w:right w:type="dxa" w:w="130"/>
            </w:tcMar>
          </w:tcPr>
          <w:p>
            <w:r>
              <w:rPr>
                <w:rFonts w:ascii="Arial" w:cs="Arial" w:eastAsia="Arial" w:hAnsi="Arial"/>
                <w:b/>
                <w:bCs/>
                <w:color w:val="FFFFFF"/>
                <w:sz w:val="20"/>
                <w:szCs w:val="20"/>
              </w:rPr>
              <w:t xml:space="preserve">EOLRP Property</w:t>
            </w:r>
          </w:p>
        </w:tc>
        <w:tc>
          <w:tcPr>
            <w:tcW w:type="dxa" w:w="2880"/>
            <w:tcBorders>
              <w:top w:val="single" w:color="c5d5e8" w:sz="1"/>
              <w:left w:val="single" w:color="c5d5e8" w:sz="1"/>
              <w:bottom w:val="single" w:color="c5d5e8" w:sz="1"/>
              <w:right w:val="single" w:color="c5d5e8" w:sz="1"/>
            </w:tcBorders>
            <w:shd w:fill="1a5c3a" w:val="clear"/>
            <w:tcMar>
              <w:top w:type="dxa" w:w="90"/>
              <w:left w:type="dxa" w:w="130"/>
              <w:bottom w:type="dxa" w:w="90"/>
              <w:right w:type="dxa" w:w="130"/>
            </w:tcMar>
          </w:tcPr>
          <w:p>
            <w:r>
              <w:rPr>
                <w:rFonts w:ascii="Arial" w:cs="Arial" w:eastAsia="Arial" w:hAnsi="Arial"/>
                <w:b/>
                <w:bCs/>
                <w:color w:val="FFFFFF"/>
                <w:sz w:val="20"/>
                <w:szCs w:val="20"/>
              </w:rPr>
              <w:t xml:space="preserve">Formal Statement</w:t>
            </w:r>
          </w:p>
        </w:tc>
        <w:tc>
          <w:tcPr>
            <w:tcW w:type="dxa" w:w="4680"/>
            <w:tcBorders>
              <w:top w:val="single" w:color="c5d5e8" w:sz="1"/>
              <w:left w:val="single" w:color="c5d5e8" w:sz="1"/>
              <w:bottom w:val="single" w:color="c5d5e8" w:sz="1"/>
              <w:right w:val="single" w:color="c5d5e8" w:sz="1"/>
            </w:tcBorders>
            <w:shd w:fill="1a5c3a" w:val="clear"/>
            <w:tcMar>
              <w:top w:type="dxa" w:w="90"/>
              <w:left w:type="dxa" w:w="130"/>
              <w:bottom w:type="dxa" w:w="90"/>
              <w:right w:type="dxa" w:w="130"/>
            </w:tcMar>
          </w:tcPr>
          <w:p>
            <w:r>
              <w:rPr>
                <w:rFonts w:ascii="Arial" w:cs="Arial" w:eastAsia="Arial" w:hAnsi="Arial"/>
                <w:b/>
                <w:bCs/>
                <w:color w:val="FFFFFF"/>
                <w:sz w:val="20"/>
                <w:szCs w:val="20"/>
              </w:rPr>
              <w:t xml:space="preserve">Biological Verification</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Admissibility preservation</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E(F_G, ξ, O) ∈ K</w:t>
            </w:r>
          </w:p>
        </w:tc>
        <w:tc>
          <w:tcPr>
            <w:tcW w:type="dxa" w:w="46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Restarted fork operates within cell cycle and pathway bounds — restart only proceeds if admissible</w:t>
            </w:r>
          </w:p>
        </w:tc>
      </w:tr>
      <w:tr>
        <w:tc>
          <w:tcPr>
            <w:tcW w:type="dxa" w:w="18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Idempotence</w:t>
            </w:r>
          </w:p>
        </w:tc>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E(E(F_G, ξ, O)) = E(F_G, ξ, O)</w:t>
            </w:r>
          </w:p>
        </w:tc>
        <w:tc>
          <w:tcPr>
            <w:tcW w:type="dxa" w:w="46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Re-applying restart machinery to an already-restarted fork produces the same state — no amplification</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Continuity on ∂K</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E continuous at constraint boundary</w:t>
            </w:r>
          </w:p>
        </w:tc>
        <w:tc>
          <w:tcPr>
            <w:tcW w:type="dxa" w:w="46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Fork restart transitions smoothly across the admissibility boundary — no discontinuous jumps in fork state</w:t>
            </w:r>
          </w:p>
        </w:tc>
      </w:tr>
      <w:tr>
        <w:tc>
          <w:tcPr>
            <w:tcW w:type="dxa" w:w="18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Geometric convergence</w:t>
            </w:r>
          </w:p>
        </w:tc>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Convergence to S*(F_G) at rate κ_H</w:t>
            </w:r>
          </w:p>
        </w:tc>
        <w:tc>
          <w:tcPr>
            <w:tcW w:type="dxa" w:w="46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ATR-CHK1 signaling drives the system toward S* at a rate determined by CHK1 activation kinetics</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Field determinism</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Identical F_G → identical S*</w:t>
            </w:r>
          </w:p>
        </w:tc>
        <w:tc>
          <w:tcPr>
            <w:tcW w:type="dxa" w:w="46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Identical cell cycle state + repair availability → identical restart outcome across cells and loci</w:t>
            </w:r>
          </w:p>
        </w:tc>
      </w:tr>
      <w:tr>
        <w:tc>
          <w:tcPr>
            <w:tcW w:type="dxa" w:w="18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Signal sufficiency</w:t>
            </w:r>
          </w:p>
        </w:tc>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Any valid ξ with O ≥ O_min → same S*</w:t>
            </w:r>
          </w:p>
        </w:tc>
        <w:tc>
          <w:tcPr>
            <w:tcW w:type="dxa" w:w="46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Any compatible RPA-ssDNA signal with sufficient repair capacity produces the same governed restart</w:t>
            </w:r>
          </w:p>
        </w:tc>
      </w:tr>
    </w:tbl>
    <w:p>
      <w:pPr>
        <w:pStyle w:val="Heading2"/>
        <w:spacing w:after="120" w:before="300"/>
      </w:pPr>
      <w:r>
        <w:rPr>
          <w:rFonts w:ascii="Arial" w:cs="Arial" w:eastAsia="Arial" w:hAnsi="Arial"/>
          <w:b/>
          <w:bCs/>
          <w:color w:val="2e75b6"/>
          <w:sz w:val="28"/>
          <w:szCs w:val="28"/>
        </w:rPr>
        <w:t xml:space="preserve">2.4  Deterministic, Structural, Exchangeable — The Three EOLRP Properties at the Fork</w:t>
      </w:r>
    </w:p>
    <w:p>
      <w:pPr>
        <w:spacing w:after="80" w:before="0"/>
      </w:pPr>
      <w:r>
        <w:t xml:space="preserve"/>
      </w:r>
    </w:p>
    <w:p>
      <w:pPr>
        <w:pStyle w:val="Heading3"/>
        <w:spacing w:after="90" w:before="220"/>
      </w:pPr>
      <w:r>
        <w:rPr>
          <w:rFonts w:ascii="Arial" w:cs="Arial" w:eastAsia="Arial" w:hAnsi="Arial"/>
          <w:b/>
          <w:bCs/>
          <w:color w:val="0a6abf"/>
          <w:sz w:val="24"/>
          <w:szCs w:val="24"/>
        </w:rPr>
        <w:t xml:space="preserve">Deterministic Restart</w:t>
      </w:r>
    </w:p>
    <w:p>
      <w:pPr>
        <w:spacing w:after="100" w:before="80"/>
        <w:jc w:val="both"/>
      </w:pPr>
      <w:r>
        <w:rPr>
          <w:rFonts w:ascii="Arial" w:cs="Arial" w:eastAsia="Arial" w:hAnsi="Arial"/>
          <w:b w:val="false"/>
          <w:bCs w:val="false"/>
          <w:i w:val="false"/>
          <w:iCs w:val="false"/>
          <w:color w:val="2d2d2d"/>
          <w:sz w:val="22"/>
          <w:szCs w:val="22"/>
        </w:rPr>
        <w:t xml:space="preserve">Replication restart is deterministic in the EOLRP sense: given the same cell cycle state (F_G) and the same RPA-ssDNA signal (ξ), the restart outcome is the same regardless of which cell, which genomic locus, or which experimental system is involved. This is not a probabilistic statement — it is a field-determinism statement. The governing invariant S* is determined by F_G, not by the history of the specific fork. Any fork with the same F_G and valid ξ reconstructs the same S*.</w:t>
      </w:r>
    </w:p>
    <w:p>
      <w:pPr>
        <w:spacing w:after="80" w:before="0"/>
      </w:pPr>
      <w:r>
        <w:t xml:space="preserve"/>
      </w:r>
    </w:p>
    <w:p>
      <w:pPr>
        <w:pStyle w:val="Heading3"/>
        <w:spacing w:after="90" w:before="220"/>
      </w:pPr>
      <w:r>
        <w:rPr>
          <w:rFonts w:ascii="Arial" w:cs="Arial" w:eastAsia="Arial" w:hAnsi="Arial"/>
          <w:b/>
          <w:bCs/>
          <w:color w:val="0a6abf"/>
          <w:sz w:val="24"/>
          <w:szCs w:val="24"/>
        </w:rPr>
        <w:t xml:space="preserve">Structural Restart</w:t>
      </w:r>
    </w:p>
    <w:p>
      <w:pPr>
        <w:spacing w:after="100" w:before="80"/>
        <w:jc w:val="both"/>
      </w:pPr>
      <w:r>
        <w:rPr>
          <w:rFonts w:ascii="Arial" w:cs="Arial" w:eastAsia="Arial" w:hAnsi="Arial"/>
          <w:b w:val="false"/>
          <w:bCs w:val="false"/>
          <w:i w:val="false"/>
          <w:iCs w:val="false"/>
          <w:color w:val="2d2d2d"/>
          <w:sz w:val="22"/>
          <w:szCs w:val="22"/>
        </w:rPr>
        <w:t xml:space="preserve">Replication restart is structural in the EOLRP sense: the governed replication state S* is reconstructed from the fork structure — the RPA-ssDNA signal, the ATR-ATRIP recognition complex, the nascent strand geometry — not from a stored copy of the pre-stall state. The cell does not retrieve a backup. It re-grows S* from the current structural signal using the field. The field is the ledger. This is the biological expression of EOLRP's second defining property: S* is field-grown, not decompressed from storage.</w:t>
      </w:r>
    </w:p>
    <w:p>
      <w:pPr>
        <w:spacing w:after="80" w:before="0"/>
      </w:pPr>
      <w:r>
        <w:t xml:space="preserve"/>
      </w:r>
    </w:p>
    <w:p>
      <w:pPr>
        <w:pStyle w:val="Heading3"/>
        <w:spacing w:after="90" w:before="220"/>
      </w:pPr>
      <w:r>
        <w:rPr>
          <w:rFonts w:ascii="Arial" w:cs="Arial" w:eastAsia="Arial" w:hAnsi="Arial"/>
          <w:b/>
          <w:bCs/>
          <w:color w:val="0a6abf"/>
          <w:sz w:val="24"/>
          <w:szCs w:val="24"/>
        </w:rPr>
        <w:t xml:space="preserve">Exchangeable Restart</w:t>
      </w:r>
    </w:p>
    <w:p>
      <w:pPr>
        <w:spacing w:after="100" w:before="80"/>
        <w:jc w:val="both"/>
      </w:pPr>
      <w:r>
        <w:rPr>
          <w:rFonts w:ascii="Arial" w:cs="Arial" w:eastAsia="Arial" w:hAnsi="Arial"/>
          <w:b w:val="false"/>
          <w:bCs w:val="false"/>
          <w:i w:val="false"/>
          <w:iCs w:val="false"/>
          <w:color w:val="2d2d2d"/>
          <w:sz w:val="22"/>
          <w:szCs w:val="22"/>
        </w:rPr>
        <w:t xml:space="preserve">Replication restart is exchangeable in the EOLRP sense: the fork restart machinery (RPA, BRCA2, RAD51, SMARCAL1, HLTF, FANCM) reconstructs the governed fork state from any compatible ssDNA signal through any compatible restart pathway, producing the same S* regardless of which specific protein complex initiates the restart. This is medium-independence — the reconstruction is not tied to a specific pathway implementation, only to the validity of ξ and the compatibility of F_G.</w:t>
      </w:r>
    </w:p>
    <w:p>
      <w:r>
        <w:br/>
      </w:r>
    </w:p>
    <w:p>
      <w:pPr>
        <w:pStyle w:val="Heading1"/>
        <w:pBdr>
          <w:bottom w:val="single" w:color="0a6abf" w:sz="8" w:space="6"/>
        </w:pBdr>
        <w:spacing w:after="180" w:before="440"/>
      </w:pPr>
      <w:r>
        <w:rPr>
          <w:rFonts w:ascii="Arial" w:cs="Arial" w:eastAsia="Arial" w:hAnsi="Arial"/>
          <w:b/>
          <w:bCs/>
          <w:color w:val="1a3a5c"/>
          <w:sz w:val="36"/>
          <w:szCs w:val="36"/>
        </w:rPr>
        <w:t xml:space="preserve">3. The Threefold Cord at the Replication Fork</w:t>
      </w:r>
    </w:p>
    <w:p>
      <w:pPr>
        <w:pStyle w:val="Heading2"/>
        <w:spacing w:after="120" w:before="300"/>
      </w:pPr>
      <w:r>
        <w:rPr>
          <w:rFonts w:ascii="Arial" w:cs="Arial" w:eastAsia="Arial" w:hAnsi="Arial"/>
          <w:b/>
          <w:bCs/>
          <w:color w:val="2e75b6"/>
          <w:sz w:val="28"/>
          <w:szCs w:val="28"/>
        </w:rPr>
        <w:t xml:space="preserve">3.1  Three Projectors, Three Invariants, Three Failure Modes</w:t>
      </w:r>
    </w:p>
    <w:p>
      <w:pPr>
        <w:spacing w:after="100" w:before="80"/>
        <w:jc w:val="both"/>
      </w:pPr>
      <w:r>
        <w:rPr>
          <w:rFonts w:ascii="Arial" w:cs="Arial" w:eastAsia="Arial" w:hAnsi="Arial"/>
          <w:b w:val="false"/>
          <w:bCs w:val="false"/>
          <w:i w:val="false"/>
          <w:iCs w:val="false"/>
          <w:color w:val="2d2d2d"/>
          <w:sz w:val="22"/>
          <w:szCs w:val="22"/>
        </w:rPr>
        <w:t xml:space="preserve">The Threefold Cord Projection Π_total = Π_state ∘ Π_F ∘ Π_decoherence must hold simultaneously across all three domains for a governed replication restart to succeed. Each projector has a specific biological implementation at the fork, and each has a specific failure mode when removed.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160"/>
        <w:gridCol w:w="1800"/>
        <w:gridCol w:w="1800"/>
      </w:tblGrid>
      <w:tr>
        <w:trPr>
          <w:tblHeader/>
        </w:trPr>
        <w:tc>
          <w:tcPr>
            <w:tcW w:type="dxa" w:w="108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Projector</w:t>
            </w:r>
          </w:p>
        </w:tc>
        <w:tc>
          <w:tcPr>
            <w:tcW w:type="dxa" w:w="252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Biological Implementation at Fork</w:t>
            </w:r>
          </w:p>
        </w:tc>
        <w:tc>
          <w:tcPr>
            <w:tcW w:type="dxa" w:w="216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Preserved Invariant</w:t>
            </w:r>
          </w:p>
        </w:tc>
        <w:tc>
          <w:tcPr>
            <w:tcW w:type="dxa" w:w="180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Failure Mode if Removed</w:t>
            </w:r>
          </w:p>
        </w:tc>
        <w:tc>
          <w:tcPr>
            <w:tcW w:type="dxa" w:w="1800"/>
            <w:tcBorders>
              <w:top w:val="single" w:color="c5d5e8" w:sz="1"/>
              <w:left w:val="single" w:color="c5d5e8" w:sz="1"/>
              <w:bottom w:val="single" w:color="c5d5e8" w:sz="1"/>
              <w:right w:val="single" w:color="c5d5e8" w:sz="1"/>
            </w:tcBorders>
            <w:shd w:fill="3a1a5c" w:val="clear"/>
            <w:tcMar>
              <w:top w:type="dxa" w:w="90"/>
              <w:left w:type="dxa" w:w="130"/>
              <w:bottom w:type="dxa" w:w="90"/>
              <w:right w:type="dxa" w:w="130"/>
            </w:tcMar>
          </w:tcPr>
          <w:p>
            <w:r>
              <w:rPr>
                <w:rFonts w:ascii="Arial" w:cs="Arial" w:eastAsia="Arial" w:hAnsi="Arial"/>
                <w:b/>
                <w:bCs/>
                <w:color w:val="FFFFFF"/>
                <w:sz w:val="20"/>
                <w:szCs w:val="20"/>
              </w:rPr>
              <w:t xml:space="preserve">Clinical Consequence</w:t>
            </w:r>
          </w:p>
        </w:tc>
      </w:tr>
      <w:tr>
        <w:tc>
          <w:tcPr>
            <w:tcW w:type="dxa" w:w="10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Π_state</w:t>
            </w:r>
          </w:p>
        </w:tc>
        <w:tc>
          <w:tcPr>
            <w:tcW w:type="dxa" w:w="25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ATR-CHK1 checkpoint — halts S-phase progression; enforces fork stall before collapse</w:t>
            </w:r>
          </w:p>
        </w:tc>
        <w:tc>
          <w:tcPr>
            <w:tcW w:type="dxa" w:w="21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Fork remains within viability kernel K (stalled but recoverable)</w:t>
            </w:r>
          </w:p>
        </w:tc>
        <w:tc>
          <w:tcPr>
            <w:tcW w:type="dxa" w:w="18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Fork collapses to DSB — exits K irreversibly</w:t>
            </w:r>
          </w:p>
        </w:tc>
        <w:tc>
          <w:tcPr>
            <w:tcW w:type="dxa" w:w="18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Double-strand break formation; genomic instability</w:t>
            </w:r>
          </w:p>
        </w:tc>
      </w:tr>
      <w:tr>
        <w:tc>
          <w:tcPr>
            <w:tcW w:type="dxa" w:w="10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Π_F (Fidelity)</w:t>
            </w:r>
          </w:p>
        </w:tc>
        <w:tc>
          <w:tcPr>
            <w:tcW w:type="dxa" w:w="252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BRCA2-RAD51 nucleofilament — high-fidelity template selection for restart</w:t>
            </w:r>
          </w:p>
        </w:tc>
        <w:tc>
          <w:tcPr>
            <w:tcW w:type="dxa" w:w="21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Fidelity to original template; correct strand selection</w:t>
            </w:r>
          </w:p>
        </w:tc>
        <w:tc>
          <w:tcPr>
            <w:tcW w:type="dxa" w:w="18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Template switching errors; replication across wrong template; CNV formation</w:t>
            </w:r>
          </w:p>
        </w:tc>
        <w:tc>
          <w:tcPr>
            <w:tcW w:type="dxa" w:w="18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Copy number variations; loss of heterozygosity</w:t>
            </w:r>
          </w:p>
        </w:tc>
      </w:tr>
      <w:tr>
        <w:tc>
          <w:tcPr>
            <w:tcW w:type="dxa" w:w="10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Π_decoherence</w:t>
            </w:r>
          </w:p>
        </w:tc>
        <w:tc>
          <w:tcPr>
            <w:tcW w:type="dxa" w:w="25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H_G ⊥ decoherence subspace — rescue pathway acts in complement of stall-causing channel</w:t>
            </w:r>
          </w:p>
        </w:tc>
        <w:tc>
          <w:tcPr>
            <w:tcW w:type="dxa" w:w="21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Governance signal orthogonal to failure mode; rescue does not reintroduce stall</w:t>
            </w:r>
          </w:p>
        </w:tc>
        <w:tc>
          <w:tcPr>
            <w:tcW w:type="dxa" w:w="18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Rescue attempts via same pathway that caused stall; re-stalling at same site</w:t>
            </w:r>
          </w:p>
        </w:tc>
        <w:tc>
          <w:tcPr>
            <w:tcW w:type="dxa" w:w="18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Persistent fork stalling; replication catastrophe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single" w:color="3a1a5c" w:sz="12"/>
              <w:left w:val="single" w:color="3a1a5c" w:sz="24"/>
              <w:bottom w:val="single" w:color="cccccc" w:sz="4"/>
              <w:right w:val="none" w:color="FFFFFF" w:sz="0"/>
            </w:tcBorders>
            <w:shd w:fill="ede8f5" w:val="clear"/>
            <w:tcMar>
              <w:top w:type="dxa" w:w="120"/>
              <w:left w:type="dxa" w:w="200"/>
              <w:bottom w:type="dxa" w:w="120"/>
              <w:right w:type="dxa" w:w="120"/>
            </w:tcMar>
          </w:tcPr>
          <w:p>
            <w:pPr>
              <w:spacing w:after="60" w:before="0"/>
            </w:pPr>
            <w:r>
              <w:rPr>
                <w:rFonts w:ascii="Arial" w:cs="Arial" w:eastAsia="Arial" w:hAnsi="Arial"/>
                <w:b/>
                <w:bCs/>
                <w:caps/>
                <w:color w:val="3a1a5c"/>
                <w:sz w:val="20"/>
                <w:szCs w:val="20"/>
              </w:rPr>
              <w:t xml:space="preserve">The Triple Guarantee</w:t>
            </w:r>
          </w:p>
          <w:p>
            <w:pPr>
              <w:spacing w:after="0" w:before="0"/>
              <w:jc w:val="both"/>
            </w:pPr>
            <w:r>
              <w:rPr>
                <w:rFonts w:ascii="Arial" w:cs="Arial" w:eastAsia="Arial" w:hAnsi="Arial"/>
                <w:i/>
                <w:iCs/>
                <w:color w:val="1a1a2e"/>
                <w:sz w:val="22"/>
                <w:szCs w:val="22"/>
              </w:rPr>
              <w:t xml:space="preserve">Π_total = Π_state ∘ Π_F ∘ Π_decoherence. A governed replication restart satisfies all three projectors simultaneously. No single projector is sufficient. ATR-CHK1 alone keeps the fork stalled but doesn't restart it. BRCA2-RAD51 alone restarts but doesn't guarantee correct template selection in the absence of checkpoint control. Orthogonal rescue pathway alone prevents re-stalling but doesn't provide fidelity. All three together constitute the Threefold Cord — the cord that does not break.</w:t>
            </w:r>
          </w:p>
        </w:tc>
      </w:tr>
    </w:tbl>
    <w:p>
      <w:pPr>
        <w:pStyle w:val="Heading2"/>
        <w:spacing w:after="120" w:before="300"/>
      </w:pPr>
      <w:r>
        <w:rPr>
          <w:rFonts w:ascii="Arial" w:cs="Arial" w:eastAsia="Arial" w:hAnsi="Arial"/>
          <w:b/>
          <w:bCs/>
          <w:color w:val="2e75b6"/>
          <w:sz w:val="28"/>
          <w:szCs w:val="28"/>
        </w:rPr>
        <w:t xml:space="preserve">3.2  TLS Fails All Three Projectors Simultaneously</w:t>
      </w:r>
    </w:p>
    <w:p>
      <w:pPr>
        <w:spacing w:after="100" w:before="80"/>
        <w:jc w:val="both"/>
      </w:pPr>
      <w:r>
        <w:rPr>
          <w:rFonts w:ascii="Arial" w:cs="Arial" w:eastAsia="Arial" w:hAnsi="Arial"/>
          <w:b w:val="false"/>
          <w:bCs w:val="false"/>
          <w:i w:val="false"/>
          <w:iCs w:val="false"/>
          <w:color w:val="2d2d2d"/>
          <w:sz w:val="22"/>
          <w:szCs w:val="22"/>
        </w:rPr>
        <w:t xml:space="preserve">Translesion synthesis is the only replication restart mode that fails all three Threefold Cord projectors simultaneously. This is not incidental — it is the mathematical signature of an authority escalation violation.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c5d5e8" w:sz="1"/>
              <w:left w:val="single" w:color="c5d5e8" w:sz="1"/>
              <w:bottom w:val="single" w:color="c5d5e8" w:sz="1"/>
              <w:right w:val="single" w:color="c5d5e8" w:sz="1"/>
            </w:tcBorders>
            <w:shd w:fill="5c1a1a" w:val="clear"/>
            <w:tcMar>
              <w:top w:type="dxa" w:w="90"/>
              <w:left w:type="dxa" w:w="130"/>
              <w:bottom w:type="dxa" w:w="90"/>
              <w:right w:type="dxa" w:w="130"/>
            </w:tcMar>
          </w:tcPr>
          <w:p>
            <w:r>
              <w:rPr>
                <w:rFonts w:ascii="Arial" w:cs="Arial" w:eastAsia="Arial" w:hAnsi="Arial"/>
                <w:b/>
                <w:bCs/>
                <w:color w:val="FFFFFF"/>
                <w:sz w:val="20"/>
                <w:szCs w:val="20"/>
              </w:rPr>
              <w:t xml:space="preserve">Projector</w:t>
            </w:r>
          </w:p>
        </w:tc>
        <w:tc>
          <w:tcPr>
            <w:tcW w:type="dxa" w:w="4320"/>
            <w:tcBorders>
              <w:top w:val="single" w:color="c5d5e8" w:sz="1"/>
              <w:left w:val="single" w:color="c5d5e8" w:sz="1"/>
              <w:bottom w:val="single" w:color="c5d5e8" w:sz="1"/>
              <w:right w:val="single" w:color="c5d5e8" w:sz="1"/>
            </w:tcBorders>
            <w:shd w:fill="5c1a1a" w:val="clear"/>
            <w:tcMar>
              <w:top w:type="dxa" w:w="90"/>
              <w:left w:type="dxa" w:w="130"/>
              <w:bottom w:type="dxa" w:w="90"/>
              <w:right w:type="dxa" w:w="130"/>
            </w:tcMar>
          </w:tcPr>
          <w:p>
            <w:r>
              <w:rPr>
                <w:rFonts w:ascii="Arial" w:cs="Arial" w:eastAsia="Arial" w:hAnsi="Arial"/>
                <w:b/>
                <w:bCs/>
                <w:color w:val="FFFFFF"/>
                <w:sz w:val="20"/>
                <w:szCs w:val="20"/>
              </w:rPr>
              <w:t xml:space="preserve">TLS Behavior</w:t>
            </w:r>
          </w:p>
        </w:tc>
        <w:tc>
          <w:tcPr>
            <w:tcW w:type="dxa" w:w="3600"/>
            <w:tcBorders>
              <w:top w:val="single" w:color="c5d5e8" w:sz="1"/>
              <w:left w:val="single" w:color="c5d5e8" w:sz="1"/>
              <w:bottom w:val="single" w:color="c5d5e8" w:sz="1"/>
              <w:right w:val="single" w:color="c5d5e8" w:sz="1"/>
            </w:tcBorders>
            <w:shd w:fill="5c1a1a" w:val="clear"/>
            <w:tcMar>
              <w:top w:type="dxa" w:w="90"/>
              <w:left w:type="dxa" w:w="130"/>
              <w:bottom w:type="dxa" w:w="90"/>
              <w:right w:type="dxa" w:w="130"/>
            </w:tcMar>
          </w:tcPr>
          <w:p>
            <w:r>
              <w:rPr>
                <w:rFonts w:ascii="Arial" w:cs="Arial" w:eastAsia="Arial" w:hAnsi="Arial"/>
                <w:b/>
                <w:bCs/>
                <w:color w:val="FFFFFF"/>
                <w:sz w:val="20"/>
                <w:szCs w:val="20"/>
              </w:rPr>
              <w:t xml:space="preserve">Violation</w:t>
            </w:r>
          </w:p>
        </w:tc>
      </w:tr>
      <w:tr>
        <w:tc>
          <w:tcPr>
            <w:tcW w:type="dxa" w:w="14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Π_state</w:t>
            </w:r>
          </w:p>
        </w:tc>
        <w:tc>
          <w:tcPr>
            <w:tcW w:type="dxa" w:w="43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TLS proceeds past the damaged template without repairing it — the structural constraint (damaged DNA = inadmissible state) remains present</w:t>
            </w:r>
          </w:p>
        </w:tc>
        <w:tc>
          <w:tcPr>
            <w:tcW w:type="dxa" w:w="36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System exits K without correction. Π_state = FAIL</w:t>
            </w:r>
          </w:p>
        </w:tc>
      </w:tr>
      <w:tr>
        <w:tc>
          <w:tcPr>
            <w:tcW w:type="dxa" w:w="144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Π_F (Fidelity)</w:t>
            </w:r>
          </w:p>
        </w:tc>
        <w:tc>
          <w:tcPr>
            <w:tcW w:type="dxa" w:w="432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TLS polymerases (Rev1, Pol ζ, Pol η) incorporate nucleotides opposite the damage with reduced fidelity — the template is corrupted, not repaired</w:t>
            </w:r>
          </w:p>
        </w:tc>
        <w:tc>
          <w:tcPr>
            <w:tcW w:type="dxa" w:w="360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Fidelity to template lost. Π_F = FAIL</w:t>
            </w:r>
          </w:p>
        </w:tc>
      </w:tr>
      <w:tr>
        <w:tc>
          <w:tcPr>
            <w:tcW w:type="dxa" w:w="14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Π_decoherence</w:t>
            </w:r>
          </w:p>
        </w:tc>
        <w:tc>
          <w:tcPr>
            <w:tcW w:type="dxa" w:w="43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TLS acts IN the decoherence subspace — it proceeds through the damaged site rather than in the orthogonal complement. Decoherence (mutation) is the output</w:t>
            </w:r>
          </w:p>
        </w:tc>
        <w:tc>
          <w:tcPr>
            <w:tcW w:type="dxa" w:w="360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Governance signal not orthogonal to noise. Π_decoherence = FAIL</w:t>
            </w:r>
          </w:p>
        </w:tc>
      </w:tr>
    </w:tbl>
    <w:p>
      <w:pPr>
        <w:spacing w:after="80" w:before="0"/>
      </w:pPr>
      <w:r>
        <w:t xml:space="preserve"/>
      </w:r>
    </w:p>
    <w:p>
      <w:pPr>
        <w:shd w:fill="f4f6f9" w:val="clear"/>
        <w:spacing w:after="160" w:before="160"/>
        <w:jc w:val="center"/>
      </w:pPr>
      <w:r>
        <w:rPr>
          <w:rFonts w:ascii="Courier New" w:cs="Courier New" w:eastAsia="Courier New" w:hAnsi="Courier New"/>
          <w:b/>
          <w:bCs/>
          <w:color w:val="1a1a2e"/>
          <w:sz w:val="22"/>
          <w:szCs w:val="22"/>
        </w:rPr>
        <w:t xml:space="preserve">TLS: Π_state = FAIL  ∧  Π_F = FAIL  ∧  Π_{dec} = FAIL  ⇒  Π_total = 0</w:t>
      </w:r>
    </w:p>
    <w:p>
      <w:pPr>
        <w:spacing w:after="100" w:before="80"/>
        <w:jc w:val="both"/>
      </w:pPr>
      <w:r>
        <w:rPr>
          <w:rFonts w:ascii="Arial" w:cs="Arial" w:eastAsia="Arial" w:hAnsi="Arial"/>
          <w:b w:val="false"/>
          <w:bCs w:val="false"/>
          <w:i w:val="false"/>
          <w:iCs w:val="false"/>
          <w:color w:val="2d2d2d"/>
          <w:sz w:val="22"/>
          <w:szCs w:val="22"/>
        </w:rPr>
        <w:t xml:space="preserve">The mathematical consequence is immediate: TLS produces zero governed output from the Threefold Cord. Every mutation introduced by TLS is a Q_L conservation violation — a detectable departure from the governed trajectory. The clinical consequence is documented: TLS is the mechanism of acquired resistance to PARPi + temozolomide in SCLC, and the mechanism of mutagenesis that drives tumour evolution.</w:t>
      </w:r>
    </w:p>
    <w:p>
      <w:r>
        <w:br/>
      </w:r>
    </w:p>
    <w:p>
      <w:pPr>
        <w:pStyle w:val="Heading1"/>
        <w:pBdr>
          <w:bottom w:val="single" w:color="0a6abf" w:sz="8" w:space="6"/>
        </w:pBdr>
        <w:spacing w:after="180" w:before="440"/>
      </w:pPr>
      <w:r>
        <w:rPr>
          <w:rFonts w:ascii="Arial" w:cs="Arial" w:eastAsia="Arial" w:hAnsi="Arial"/>
          <w:b/>
          <w:bCs/>
          <w:color w:val="1a3a5c"/>
          <w:sz w:val="36"/>
          <w:szCs w:val="36"/>
        </w:rPr>
        <w:t xml:space="preserve">4. The Spectral Observer in Replication Governance</w:t>
      </w:r>
    </w:p>
    <w:p>
      <w:pPr>
        <w:pStyle w:val="Heading2"/>
        <w:spacing w:after="120" w:before="300"/>
      </w:pPr>
      <w:r>
        <w:rPr>
          <w:rFonts w:ascii="Arial" w:cs="Arial" w:eastAsia="Arial" w:hAnsi="Arial"/>
          <w:b/>
          <w:bCs/>
          <w:color w:val="2e75b6"/>
          <w:sz w:val="28"/>
          <w:szCs w:val="28"/>
        </w:rPr>
        <w:t xml:space="preserve">4.1  Spectral Divergence Detection at the Fork</w:t>
      </w:r>
    </w:p>
    <w:p>
      <w:pPr>
        <w:spacing w:after="100" w:before="80"/>
        <w:jc w:val="both"/>
      </w:pPr>
      <w:r>
        <w:rPr>
          <w:rFonts w:ascii="Arial" w:cs="Arial" w:eastAsia="Arial" w:hAnsi="Arial"/>
          <w:b w:val="false"/>
          <w:bCs w:val="false"/>
          <w:i w:val="false"/>
          <w:iCs w:val="false"/>
          <w:color w:val="2d2d2d"/>
          <w:sz w:val="22"/>
          <w:szCs w:val="22"/>
        </w:rPr>
        <w:t xml:space="preserve">The Spectral Observer monitors the eigenvalue spread of the governance operator — the spectral signature of the system's proximity to S*. In the replication fork context, the spectral observer is the ATR-ATRIP-RPA complex operating as a continuous divergence detector.</w:t>
      </w:r>
    </w:p>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The ATR kinase is activated by RPA-coated ssDNA — the re-instantiation signal ξ. ATR does not wait for fork collapse. It detects the spectral signature of divergence from S* — the accumulation of ssDNA, the stalling of the replication machinery, the geometric change in the fork structure — and activates the CHK1 response before the fork exits 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single" w:color="5c4a1a" w:sz="12"/>
              <w:left w:val="single" w:color="5c4a1a" w:sz="24"/>
              <w:bottom w:val="single" w:color="cccccc" w:sz="4"/>
              <w:right w:val="none" w:color="FFFFFF" w:sz="0"/>
            </w:tcBorders>
            <w:shd w:fill="f5f0dc" w:val="clear"/>
            <w:tcMar>
              <w:top w:type="dxa" w:w="120"/>
              <w:left w:type="dxa" w:w="200"/>
              <w:bottom w:type="dxa" w:w="120"/>
              <w:right w:type="dxa" w:w="120"/>
            </w:tcMar>
          </w:tcPr>
          <w:p>
            <w:pPr>
              <w:spacing w:after="60" w:before="0"/>
            </w:pPr>
            <w:r>
              <w:rPr>
                <w:rFonts w:ascii="Arial" w:cs="Arial" w:eastAsia="Arial" w:hAnsi="Arial"/>
                <w:b/>
                <w:bCs/>
                <w:caps/>
                <w:color w:val="5c4a1a"/>
                <w:sz w:val="20"/>
                <w:szCs w:val="20"/>
              </w:rPr>
              <w:t xml:space="preserve">Spectral Observer Timing</w:t>
            </w:r>
          </w:p>
          <w:p>
            <w:pPr>
              <w:spacing w:after="0" w:before="0"/>
              <w:jc w:val="both"/>
            </w:pPr>
            <w:r>
              <w:rPr>
                <w:rFonts w:ascii="Arial" w:cs="Arial" w:eastAsia="Arial" w:hAnsi="Arial"/>
                <w:i/>
                <w:iCs/>
                <w:color w:val="1a1a2e"/>
                <w:sz w:val="22"/>
                <w:szCs w:val="22"/>
              </w:rPr>
              <w:t xml:space="preserve">The Spectral Observer must fire before S* is lost. ATR fires when RPA-ssDNA accumulates — when the fork stalls and exposes single-stranded DNA. This is earlier than fork collapse. The spectral divergence |γ(x) − γ*| &gt; δ_S is detected while the fork is stalled but still within K, giving the Echo Operator time to reconstruct S* before K is exited. This is the governed architecture: detect → signal → reconstruct → restart, all within K.</w:t>
            </w:r>
          </w:p>
        </w:tc>
      </w:tr>
    </w:tbl>
    <w:p>
      <w:pPr>
        <w:pStyle w:val="Heading2"/>
        <w:spacing w:after="120" w:before="300"/>
      </w:pPr>
      <w:r>
        <w:rPr>
          <w:rFonts w:ascii="Arial" w:cs="Arial" w:eastAsia="Arial" w:hAnsi="Arial"/>
          <w:b/>
          <w:bCs/>
          <w:color w:val="2e75b6"/>
          <w:sz w:val="28"/>
          <w:szCs w:val="28"/>
        </w:rPr>
        <w:t xml:space="preserve">4.2  CHK1 as the Convergence Rate Parameter</w:t>
      </w:r>
    </w:p>
    <w:p>
      <w:pPr>
        <w:spacing w:after="100" w:before="80"/>
        <w:jc w:val="both"/>
      </w:pPr>
      <w:r>
        <w:rPr>
          <w:rFonts w:ascii="Arial" w:cs="Arial" w:eastAsia="Arial" w:hAnsi="Arial"/>
          <w:b w:val="false"/>
          <w:bCs w:val="false"/>
          <w:i w:val="false"/>
          <w:iCs w:val="false"/>
          <w:color w:val="2d2d2d"/>
          <w:sz w:val="22"/>
          <w:szCs w:val="22"/>
        </w:rPr>
        <w:t xml:space="preserve">The geometric convergence rate κ_H in the Echo Operator is the rate at which the system converges to S*(F_G) after the re-instantiation signal is received. In the biological system, this rate is determined by CHK1 activation kinetics — the speed at which the ATR-CHK1 signal propagates through the replication stress response and initiates fork stabilization.</w:t>
      </w:r>
    </w:p>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High CHK1 activity = high κ_H = fast convergence to S*. Low CHK1 activity = low κ_H = slow convergence, extended stall, increased risk of fork collapse. This is the constitutional explanation for the clinical finding that high CHK1 expression predicts resistance to PARPi: high κ_H means the system converges to S* before the PARPi-induced governance halt can execute.</w:t>
      </w:r>
    </w:p>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Critically: this is a convergence delay, not a coupling failure. CHK1 elevation delays convergence to S* — it extends the Echo Operator evaluation window. This is distinguishable from Q_L drift (coupling failure) by the presence of an active S* reconstruction trajectory rather than the absence of coupling.</w:t>
      </w:r>
    </w:p>
    <w:p>
      <w:pPr>
        <w:pStyle w:val="Heading2"/>
        <w:spacing w:after="120" w:before="300"/>
      </w:pPr>
      <w:r>
        <w:rPr>
          <w:rFonts w:ascii="Arial" w:cs="Arial" w:eastAsia="Arial" w:hAnsi="Arial"/>
          <w:b/>
          <w:bCs/>
          <w:color w:val="2e75b6"/>
          <w:sz w:val="28"/>
          <w:szCs w:val="28"/>
        </w:rPr>
        <w:t xml:space="preserve">4.3  SLFN11 as the Spectral Observer Terminus</w:t>
      </w:r>
    </w:p>
    <w:p>
      <w:pPr>
        <w:spacing w:after="100" w:before="80"/>
        <w:jc w:val="both"/>
      </w:pPr>
      <w:r>
        <w:rPr>
          <w:rFonts w:ascii="Arial" w:cs="Arial" w:eastAsia="Arial" w:hAnsi="Arial"/>
          <w:b w:val="false"/>
          <w:bCs w:val="false"/>
          <w:i w:val="false"/>
          <w:iCs w:val="false"/>
          <w:color w:val="2d2d2d"/>
          <w:sz w:val="22"/>
          <w:szCs w:val="22"/>
        </w:rPr>
        <w:t xml:space="preserve">SLFN11 is the molecular implementation of the Spectral Observer's terminal function — the governance halt when reconstruction fails. When replication stress cannot be resolved by the Echo Operator (O &lt; O_min, or F_G incompatible with any available restart mode), SLFN11 blocks replication globally and triggers the apoptotic governance halt.</w:t>
      </w:r>
    </w:p>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SLFN11 expression = Spectral Observer terminus active. Low SLFN11 = terminus disconnected. The spectral divergence signal is detected but never reaches the governance halt. The fork does not restart, does not halt — it collapses into DSBs that propagate without constitutional resolution.</w:t>
      </w:r>
    </w:p>
    <w:p>
      <w:r>
        <w:br/>
      </w:r>
    </w:p>
    <w:p>
      <w:pPr>
        <w:pStyle w:val="Heading1"/>
        <w:pBdr>
          <w:bottom w:val="single" w:color="0a6abf" w:sz="8" w:space="6"/>
        </w:pBdr>
        <w:spacing w:after="180" w:before="440"/>
      </w:pPr>
      <w:r>
        <w:rPr>
          <w:rFonts w:ascii="Arial" w:cs="Arial" w:eastAsia="Arial" w:hAnsi="Arial"/>
          <w:b/>
          <w:bCs/>
          <w:color w:val="1a3a5c"/>
          <w:sz w:val="36"/>
          <w:szCs w:val="36"/>
        </w:rPr>
        <w:t xml:space="preserve">5. Lindblad Rescue Operators in Replication Restart</w:t>
      </w:r>
    </w:p>
    <w:p>
      <w:pPr>
        <w:pStyle w:val="Heading2"/>
        <w:spacing w:after="120" w:before="300"/>
      </w:pPr>
      <w:r>
        <w:rPr>
          <w:rFonts w:ascii="Arial" w:cs="Arial" w:eastAsia="Arial" w:hAnsi="Arial"/>
          <w:b/>
          <w:bCs/>
          <w:color w:val="2e75b6"/>
          <w:sz w:val="28"/>
          <w:szCs w:val="28"/>
        </w:rPr>
        <w:t xml:space="preserve">5.1  Orthogonal Rescue Construction</w:t>
      </w:r>
    </w:p>
    <w:p>
      <w:pPr>
        <w:spacing w:after="100" w:before="80"/>
        <w:jc w:val="both"/>
      </w:pPr>
      <w:r>
        <w:rPr>
          <w:rFonts w:ascii="Arial" w:cs="Arial" w:eastAsia="Arial" w:hAnsi="Arial"/>
          <w:b w:val="false"/>
          <w:bCs w:val="false"/>
          <w:i w:val="false"/>
          <w:iCs w:val="false"/>
          <w:color w:val="2d2d2d"/>
          <w:sz w:val="22"/>
          <w:szCs w:val="22"/>
        </w:rPr>
        <w:t xml:space="preserve">The Lindblad Rescue Operators are constructed in the orthogonal complement of the dominant decoherence channels. This orthogonality condition is not optional — it is the architectural guarantee that rescue does not reintroduce the failure mode.</w:t>
      </w:r>
    </w:p>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In the replication fork context, the dominant decoherence channel is the specific process that caused the stall: a specific DNA lesion type, a specific protein barrier, a specific structural impediment. The rescue operator must act in the orthogonal complement of that process — using a repair pathway that does not encounter the same barrier.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5d5e8" w:sz="1"/>
              <w:left w:val="single" w:color="c5d5e8" w:sz="1"/>
              <w:bottom w:val="single" w:color="c5d5e8" w:sz="1"/>
              <w:right w:val="single" w:color="c5d5e8" w:sz="1"/>
            </w:tcBorders>
            <w:shd w:fill="1a5c3a" w:val="clear"/>
            <w:tcMar>
              <w:top w:type="dxa" w:w="90"/>
              <w:left w:type="dxa" w:w="130"/>
              <w:bottom w:type="dxa" w:w="90"/>
              <w:right w:type="dxa" w:w="130"/>
            </w:tcMar>
          </w:tcPr>
          <w:p>
            <w:r>
              <w:rPr>
                <w:rFonts w:ascii="Arial" w:cs="Arial" w:eastAsia="Arial" w:hAnsi="Arial"/>
                <w:b/>
                <w:bCs/>
                <w:color w:val="FFFFFF"/>
                <w:sz w:val="20"/>
                <w:szCs w:val="20"/>
              </w:rPr>
              <w:t xml:space="preserve">Stall Cause (Decoherence Channel)</w:t>
            </w:r>
          </w:p>
        </w:tc>
        <w:tc>
          <w:tcPr>
            <w:tcW w:type="dxa" w:w="2880"/>
            <w:tcBorders>
              <w:top w:val="single" w:color="c5d5e8" w:sz="1"/>
              <w:left w:val="single" w:color="c5d5e8" w:sz="1"/>
              <w:bottom w:val="single" w:color="c5d5e8" w:sz="1"/>
              <w:right w:val="single" w:color="c5d5e8" w:sz="1"/>
            </w:tcBorders>
            <w:shd w:fill="1a5c3a" w:val="clear"/>
            <w:tcMar>
              <w:top w:type="dxa" w:w="90"/>
              <w:left w:type="dxa" w:w="130"/>
              <w:bottom w:type="dxa" w:w="90"/>
              <w:right w:type="dxa" w:w="130"/>
            </w:tcMar>
          </w:tcPr>
          <w:p>
            <w:r>
              <w:rPr>
                <w:rFonts w:ascii="Arial" w:cs="Arial" w:eastAsia="Arial" w:hAnsi="Arial"/>
                <w:b/>
                <w:bCs/>
                <w:color w:val="FFFFFF"/>
                <w:sz w:val="20"/>
                <w:szCs w:val="20"/>
              </w:rPr>
              <w:t xml:space="preserve">Orthogonal Rescue Operator</w:t>
            </w:r>
          </w:p>
        </w:tc>
        <w:tc>
          <w:tcPr>
            <w:tcW w:type="dxa" w:w="4320"/>
            <w:tcBorders>
              <w:top w:val="single" w:color="c5d5e8" w:sz="1"/>
              <w:left w:val="single" w:color="c5d5e8" w:sz="1"/>
              <w:bottom w:val="single" w:color="c5d5e8" w:sz="1"/>
              <w:right w:val="single" w:color="c5d5e8" w:sz="1"/>
            </w:tcBorders>
            <w:shd w:fill="1a5c3a" w:val="clear"/>
            <w:tcMar>
              <w:top w:type="dxa" w:w="90"/>
              <w:left w:type="dxa" w:w="130"/>
              <w:bottom w:type="dxa" w:w="90"/>
              <w:right w:type="dxa" w:w="130"/>
            </w:tcMar>
          </w:tcPr>
          <w:p>
            <w:r>
              <w:rPr>
                <w:rFonts w:ascii="Arial" w:cs="Arial" w:eastAsia="Arial" w:hAnsi="Arial"/>
                <w:b/>
                <w:bCs/>
                <w:color w:val="FFFFFF"/>
                <w:sz w:val="20"/>
                <w:szCs w:val="20"/>
              </w:rPr>
              <w:t xml:space="preserve">Why Orthogonal</w:t>
            </w:r>
          </w:p>
        </w:tc>
      </w:tr>
      <w:tr>
        <w:tc>
          <w:tcPr>
            <w:tcW w:type="dxa" w:w="21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Oxidative base damage (8-oxoG)</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BER-mediated repair (OGG1, APE1, Pol β)</w:t>
            </w:r>
          </w:p>
        </w:tc>
        <w:tc>
          <w:tcPr>
            <w:tcW w:type="dxa" w:w="43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BER specifically removes the oxidative lesion — orthogonal to the oxidation channel</w:t>
            </w:r>
          </w:p>
        </w:tc>
      </w:tr>
      <w:tr>
        <w:tc>
          <w:tcPr>
            <w:tcW w:type="dxa" w:w="21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Interstrand crosslink (cisplatin)</w:t>
            </w:r>
          </w:p>
        </w:tc>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Fanconi Anemia pathway (FANCD2, XPF-ERCC1)</w:t>
            </w:r>
          </w:p>
        </w:tc>
        <w:tc>
          <w:tcPr>
            <w:tcW w:type="dxa" w:w="432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FA pathway specifically unhooks crosslinks — acts on different substrate than the crosslinking agent</w:t>
            </w:r>
          </w:p>
        </w:tc>
      </w:tr>
      <w:tr>
        <w:tc>
          <w:tcPr>
            <w:tcW w:type="dxa" w:w="21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CPD/6-4PP (UV lesion)</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NER (XPC, TFIIH, XPG, XPF)</w:t>
            </w:r>
          </w:p>
        </w:tc>
        <w:tc>
          <w:tcPr>
            <w:tcW w:type="dxa" w:w="43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NER removes bulky helix-distorting lesions — orthogonal to the UV photochemistry channel</w:t>
            </w:r>
          </w:p>
        </w:tc>
      </w:tr>
      <w:tr>
        <w:tc>
          <w:tcPr>
            <w:tcW w:type="dxa" w:w="216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PARP-trapped nick</w:t>
            </w:r>
          </w:p>
        </w:tc>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HR-mediated fork restart (BRCA2, RAD51)</w:t>
            </w:r>
          </w:p>
        </w:tc>
        <w:tc>
          <w:tcPr>
            <w:tcW w:type="dxa" w:w="432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HR acts on DSB / ssDNA substrate, not on the trapped PARP complex directly — orthogonal channel</w:t>
            </w:r>
          </w:p>
        </w:tc>
      </w:tr>
      <w:tr>
        <w:tc>
          <w:tcPr>
            <w:tcW w:type="dxa" w:w="216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R-loop / RNA-DNA hybrid</w:t>
            </w:r>
          </w:p>
        </w:tc>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RNase H / Senataxin / AQR</w:t>
            </w:r>
          </w:p>
        </w:tc>
        <w:tc>
          <w:tcPr>
            <w:tcW w:type="dxa" w:w="432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RNA-DNA hybrid resolution acts on the RNA component — orthogonal to the transcription channel that created it</w:t>
            </w:r>
          </w:p>
        </w:tc>
      </w:tr>
    </w:tbl>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The orthogonality condition formally guarantees that rescue operator deployment reduces the net decoherence experienced by the fork — it does not merely redirect it. This is the mathematical basis for the clinical observation that combination therapies targeting orthogonal pathways produce synergistic rather than additive effects.</w:t>
      </w:r>
    </w:p>
    <w:p>
      <w:pPr>
        <w:pStyle w:val="Heading2"/>
        <w:spacing w:after="120" w:before="300"/>
      </w:pPr>
      <w:r>
        <w:rPr>
          <w:rFonts w:ascii="Arial" w:cs="Arial" w:eastAsia="Arial" w:hAnsi="Arial"/>
          <w:b/>
          <w:bCs/>
          <w:color w:val="2e75b6"/>
          <w:sz w:val="28"/>
          <w:szCs w:val="28"/>
        </w:rPr>
        <w:t xml:space="preserve">5.2  The Rescue Window W_rescue</w:t>
      </w:r>
    </w:p>
    <w:p>
      <w:pPr>
        <w:spacing w:after="100" w:before="80"/>
        <w:jc w:val="both"/>
      </w:pPr>
      <w:r>
        <w:rPr>
          <w:rFonts w:ascii="Arial" w:cs="Arial" w:eastAsia="Arial" w:hAnsi="Arial"/>
          <w:b w:val="false"/>
          <w:bCs w:val="false"/>
          <w:i w:val="false"/>
          <w:iCs w:val="false"/>
          <w:color w:val="2d2d2d"/>
          <w:sz w:val="22"/>
          <w:szCs w:val="22"/>
        </w:rPr>
        <w:t xml:space="preserve">The rescue window W_rescue is the time interval between Spectral Observer activation (ATR firing) and fork collapse (DSB formation or replication catastrophe). This is the window within which the Echo Operator must complete its reconstruction of S*.</w:t>
      </w:r>
    </w:p>
    <w:p>
      <w:pPr>
        <w:shd w:fill="f4f6f9" w:val="clear"/>
        <w:spacing w:after="160" w:before="160"/>
        <w:jc w:val="center"/>
      </w:pPr>
      <w:r>
        <w:rPr>
          <w:rFonts w:ascii="Courier New" w:cs="Courier New" w:eastAsia="Courier New" w:hAnsi="Courier New"/>
          <w:b/>
          <w:bCs/>
          <w:color w:val="1a1a2e"/>
          <w:sz w:val="22"/>
          <w:szCs w:val="22"/>
        </w:rPr>
        <w:t xml:space="preserve">W_{rescue} = T_{collapse} − T_{ATR\_activation}</w:t>
      </w:r>
    </w:p>
    <w:p>
      <w:pPr>
        <w:spacing w:after="100" w:before="80"/>
        <w:jc w:val="both"/>
      </w:pPr>
      <w:r>
        <w:rPr>
          <w:rFonts w:ascii="Arial" w:cs="Arial" w:eastAsia="Arial" w:hAnsi="Arial"/>
          <w:b w:val="false"/>
          <w:bCs w:val="false"/>
          <w:i w:val="false"/>
          <w:iCs w:val="false"/>
          <w:color w:val="2d2d2d"/>
          <w:sz w:val="22"/>
          <w:szCs w:val="22"/>
        </w:rPr>
        <w:t xml:space="preserve">The rescue window is bounded by:</w:t>
      </w:r>
    </w:p>
    <w:p>
      <w:pPr>
        <w:pStyle w:val="ListParagraph"/>
        <w:numPr>
          <w:ilvl w:val="0"/>
          <w:numId w:val="2"/>
        </w:numPr>
        <w:spacing w:after="60" w:before="60"/>
      </w:pPr>
      <w:r>
        <w:rPr>
          <w:rFonts w:ascii="Arial" w:cs="Arial" w:eastAsia="Arial" w:hAnsi="Arial"/>
          <w:color w:val="2d2d2d"/>
          <w:sz w:val="22"/>
          <w:szCs w:val="22"/>
        </w:rPr>
        <w:t xml:space="preserve">Above: the rate of fork collapse — how quickly the stalled fork transitions from recoverable to collapsed. This is determined by the decoherence rate of the dominant channel.</w:t>
      </w:r>
    </w:p>
    <w:p>
      <w:pPr>
        <w:pStyle w:val="ListParagraph"/>
        <w:numPr>
          <w:ilvl w:val="0"/>
          <w:numId w:val="2"/>
        </w:numPr>
        <w:spacing w:after="60" w:before="60"/>
      </w:pPr>
      <w:r>
        <w:rPr>
          <w:rFonts w:ascii="Arial" w:cs="Arial" w:eastAsia="Arial" w:hAnsi="Arial"/>
          <w:color w:val="2d2d2d"/>
          <w:sz w:val="22"/>
          <w:szCs w:val="22"/>
        </w:rPr>
        <w:t xml:space="preserve">Below: the convergence rate κ_H — how quickly the Echo Operator can re-grow S* from ξ. This is determined by CHK1 kinetics and repair pathway availability.</w:t>
      </w:r>
    </w:p>
    <w:p>
      <w:pPr>
        <w:spacing w:after="80" w:before="0"/>
      </w:pPr>
      <w:r>
        <w:t xml:space="preserve"/>
      </w:r>
    </w:p>
    <w:p>
      <w:pPr>
        <w:spacing w:after="100" w:before="80"/>
        <w:jc w:val="both"/>
      </w:pPr>
      <w:r>
        <w:rPr>
          <w:rFonts w:ascii="Arial" w:cs="Arial" w:eastAsia="Arial" w:hAnsi="Arial"/>
          <w:b w:val="false"/>
          <w:bCs w:val="false"/>
          <w:i w:val="false"/>
          <w:iCs w:val="false"/>
          <w:color w:val="2d2d2d"/>
          <w:sz w:val="22"/>
          <w:szCs w:val="22"/>
        </w:rPr>
        <w:t xml:space="preserve">A governed restart requires W_rescue &gt; T_reconstruction, where T_reconstruction = 1/κ_H. When W_rescue &lt; T_reconstruction, the fork collapses before S* can be reconstructed — the EOLRP fails not because ξ is invalid but because O &lt; O_min (insufficient obligation resource to complete reconstruction in the available window).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single" w:color="1a5c3a" w:sz="12"/>
              <w:left w:val="single" w:color="1a5c3a" w:sz="24"/>
              <w:bottom w:val="single" w:color="cccccc" w:sz="4"/>
              <w:right w:val="none" w:color="FFFFFF" w:sz="0"/>
            </w:tcBorders>
            <w:shd w:fill="e8f5ee" w:val="clear"/>
            <w:tcMar>
              <w:top w:type="dxa" w:w="120"/>
              <w:left w:type="dxa" w:w="200"/>
              <w:bottom w:type="dxa" w:w="120"/>
              <w:right w:type="dxa" w:w="120"/>
            </w:tcMar>
          </w:tcPr>
          <w:p>
            <w:pPr>
              <w:spacing w:after="60" w:before="0"/>
            </w:pPr>
            <w:r>
              <w:rPr>
                <w:rFonts w:ascii="Arial" w:cs="Arial" w:eastAsia="Arial" w:hAnsi="Arial"/>
                <w:b/>
                <w:bCs/>
                <w:caps/>
                <w:color w:val="1a5c3a"/>
                <w:sz w:val="20"/>
                <w:szCs w:val="20"/>
              </w:rPr>
              <w:t xml:space="preserve">Clinical Implication — PARPi and the Rescue Window</w:t>
            </w:r>
          </w:p>
          <w:p>
            <w:pPr>
              <w:spacing w:after="0" w:before="0"/>
              <w:jc w:val="both"/>
            </w:pPr>
            <w:r>
              <w:rPr>
                <w:rFonts w:ascii="Arial" w:cs="Arial" w:eastAsia="Arial" w:hAnsi="Arial"/>
                <w:i/>
                <w:iCs/>
                <w:color w:val="1a1a2e"/>
                <w:sz w:val="22"/>
                <w:szCs w:val="22"/>
              </w:rPr>
              <w:t xml:space="preserve">PARPi narrows W_rescue by trapping PARP on the DNA, converting single-strand breaks (recoverable) into fork collapse events (irreversible). In BRCA1/2-deficient cells, T_reconstruction is increased (HR unavailable, reduced κ_H). PARPi trapping + BRCA deficiency = W_rescue &lt; T_reconstruction = EOLRP fails = governance halt mandatory. Synthetic lethality is a constitutional rescue window collapse.</w:t>
            </w:r>
          </w:p>
        </w:tc>
      </w:tr>
    </w:tbl>
    <w:p>
      <w:r>
        <w:br/>
      </w:r>
    </w:p>
    <w:p>
      <w:pPr>
        <w:pStyle w:val="Heading1"/>
        <w:pBdr>
          <w:bottom w:val="single" w:color="0a6abf" w:sz="8" w:space="6"/>
        </w:pBdr>
        <w:spacing w:after="180" w:before="440"/>
      </w:pPr>
      <w:r>
        <w:rPr>
          <w:rFonts w:ascii="Arial" w:cs="Arial" w:eastAsia="Arial" w:hAnsi="Arial"/>
          <w:b/>
          <w:bCs/>
          <w:color w:val="1a3a5c"/>
          <w:sz w:val="36"/>
          <w:szCs w:val="36"/>
        </w:rPr>
        <w:t xml:space="preserve">6. Formal Claim Set — Replication Restart as EOLRP</w:t>
      </w:r>
    </w:p>
    <w:p>
      <w:pPr>
        <w:spacing w:after="100" w:before="80"/>
        <w:jc w:val="both"/>
      </w:pPr>
      <w:r>
        <w:rPr>
          <w:rFonts w:ascii="Arial" w:cs="Arial" w:eastAsia="Arial" w:hAnsi="Arial"/>
          <w:b w:val="false"/>
          <w:bCs w:val="false"/>
          <w:i w:val="false"/>
          <w:iCs w:val="false"/>
          <w:color w:val="2d2d2d"/>
          <w:sz w:val="22"/>
          <w:szCs w:val="22"/>
        </w:rPr>
        <w:t xml:space="preserve">The following claims constitute the formal patent-ready claim set for this mapping. Each claim is independently defensible as a novel contribution to the prior art.</w:t>
      </w:r>
    </w:p>
    <w:p>
      <w:pPr>
        <w:spacing w:after="80" w:before="0"/>
      </w:pPr>
      <w:r>
        <w:t xml:space="preserve"/>
      </w:r>
    </w:p>
    <w:p>
      <w:pPr>
        <w:pStyle w:val="Heading2"/>
        <w:spacing w:after="120" w:before="300"/>
      </w:pPr>
      <w:r>
        <w:rPr>
          <w:rFonts w:ascii="Arial" w:cs="Arial" w:eastAsia="Arial" w:hAnsi="Arial"/>
          <w:b/>
          <w:bCs/>
          <w:color w:val="2e75b6"/>
          <w:sz w:val="28"/>
          <w:szCs w:val="28"/>
        </w:rPr>
        <w:t xml:space="preserve">Independent Claims</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 1.</w:t>
      </w:r>
    </w:p>
    <w:p>
      <w:pPr>
        <w:spacing w:after="100" w:before="80"/>
        <w:jc w:val="both"/>
      </w:pPr>
      <w:r>
        <w:rPr>
          <w:rFonts w:ascii="Arial" w:cs="Arial" w:eastAsia="Arial" w:hAnsi="Arial"/>
          <w:b w:val="false"/>
          <w:bCs w:val="false"/>
          <w:i w:val="false"/>
          <w:iCs w:val="false"/>
          <w:color w:val="2d2d2d"/>
          <w:sz w:val="22"/>
          <w:szCs w:val="22"/>
        </w:rPr>
        <w:t xml:space="preserve">A formal mapping establishing that DNA replication fork restart is a biological implementation of the Echo Operator Lossless Reconstruction Protocol (EOLRP), wherein: the re-instantiation signal ξ is the RPA-coated single-stranded DNA at the stalled replication fork; the governance free energy field F_G is the cell cycle state and repair pathway availability; the governing invariant S* is the admissible replication state; the obligation resource O is the available repair pathway capacity; and the Echo Operator E(F_G, ξ_{RPA}, O_{repair}) reconstructs S* from ξ_{RPA} using F_G, satisfying all six EOLRP defining properties in the biological context.</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 2.</w:t>
      </w:r>
    </w:p>
    <w:p>
      <w:pPr>
        <w:spacing w:after="100" w:before="80"/>
        <w:jc w:val="both"/>
      </w:pPr>
      <w:r>
        <w:rPr>
          <w:rFonts w:ascii="Arial" w:cs="Arial" w:eastAsia="Arial" w:hAnsi="Arial"/>
          <w:b w:val="false"/>
          <w:bCs w:val="false"/>
          <w:i w:val="false"/>
          <w:iCs w:val="false"/>
          <w:color w:val="2d2d2d"/>
          <w:sz w:val="22"/>
          <w:szCs w:val="22"/>
        </w:rPr>
        <w:t xml:space="preserve">A system for governed replication restart comprising: a Spectral Observer implemented as the ATR-ATRIP-RPA complex detecting spectral divergence |γ(x) − γ*| &gt; δ_S before fork collapse; a set of Lindblad Rescue Operators constructed in the orthogonal complement of the dominant decoherence channel (stall-causing lesion type), ensuring rescue does not reintroduce the failure mode; a Threefold Cord Projection Π_total = Π_state ∘ Π_F ∘ Π_decoherence providing simultaneous governance across state space, fidelity space, and decoherence defense; and an Echo Operator reconstruction of S* from the RPA-ssDNA re-instantiation signal within the rescue window W_rescue.</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 3.</w:t>
      </w:r>
    </w:p>
    <w:p>
      <w:pPr>
        <w:spacing w:after="100" w:before="80"/>
        <w:jc w:val="both"/>
      </w:pPr>
      <w:r>
        <w:rPr>
          <w:rFonts w:ascii="Arial" w:cs="Arial" w:eastAsia="Arial" w:hAnsi="Arial"/>
          <w:b w:val="false"/>
          <w:bCs w:val="false"/>
          <w:i w:val="false"/>
          <w:iCs w:val="false"/>
          <w:color w:val="2d2d2d"/>
          <w:sz w:val="22"/>
          <w:szCs w:val="22"/>
        </w:rPr>
        <w:t xml:space="preserve">A formal classification of translesion synthesis (TLS) as an authority escalation violation, wherein: TLS fails Π_state by proceeding past the inadmissible state without repair; TLS fails Π_F by introducing nucleotides opposite the damage with reduced fidelity; TLS fails Π_decoherence by acting within the decoherence subspace rather than in its orthogonal complement; producing Π_total = 0 and a detectable Q_L conservation violation with an escalation signature distinguishable from all other replication restart modes.</w:t>
      </w:r>
    </w:p>
    <w:p>
      <w:pPr>
        <w:spacing w:after="80" w:before="0"/>
      </w:pPr>
      <w:r>
        <w:t xml:space="preserve"/>
      </w:r>
    </w:p>
    <w:p>
      <w:pPr>
        <w:pStyle w:val="Heading2"/>
        <w:spacing w:after="120" w:before="300"/>
      </w:pPr>
      <w:r>
        <w:rPr>
          <w:rFonts w:ascii="Arial" w:cs="Arial" w:eastAsia="Arial" w:hAnsi="Arial"/>
          <w:b/>
          <w:bCs/>
          <w:color w:val="2e75b6"/>
          <w:sz w:val="28"/>
          <w:szCs w:val="28"/>
        </w:rPr>
        <w:t xml:space="preserve">Dependent Claims</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 4.</w:t>
      </w:r>
    </w:p>
    <w:p>
      <w:pPr>
        <w:spacing w:after="100" w:before="80"/>
        <w:jc w:val="both"/>
      </w:pPr>
      <w:r>
        <w:rPr>
          <w:rFonts w:ascii="Arial" w:cs="Arial" w:eastAsia="Arial" w:hAnsi="Arial"/>
          <w:b w:val="false"/>
          <w:bCs w:val="false"/>
          <w:i w:val="false"/>
          <w:iCs w:val="false"/>
          <w:color w:val="2d2d2d"/>
          <w:sz w:val="22"/>
          <w:szCs w:val="22"/>
        </w:rPr>
        <w:t xml:space="preserve">The system of claim 2, wherein the rescue window W_rescue = T_collapse − T_ATR_activation bounds the available time for Echo Operator reconstruction, and synthetic lethality (as produced by PARPi in BRCA-deficient cells) is formally characterized as a rescue window collapse: W_rescue &lt; T_reconstruction.</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 5.</w:t>
      </w:r>
    </w:p>
    <w:p>
      <w:pPr>
        <w:spacing w:after="100" w:before="80"/>
        <w:jc w:val="both"/>
      </w:pPr>
      <w:r>
        <w:rPr>
          <w:rFonts w:ascii="Arial" w:cs="Arial" w:eastAsia="Arial" w:hAnsi="Arial"/>
          <w:b w:val="false"/>
          <w:bCs w:val="false"/>
          <w:i w:val="false"/>
          <w:iCs w:val="false"/>
          <w:color w:val="2d2d2d"/>
          <w:sz w:val="22"/>
          <w:szCs w:val="22"/>
        </w:rPr>
        <w:t xml:space="preserve">The system of claim 2, wherein CHK1 activation kinetics determine the convergence rate κ_H of the Echo Operator, and elevated CHK1 expression is characterized as a convergence delay (extended Echo Operator evaluation window) rather than a coupling failure, distinguishable from Q_L drift by the presence of an active S* reconstruction trajectory.</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 6.</w:t>
      </w:r>
    </w:p>
    <w:p>
      <w:pPr>
        <w:spacing w:after="100" w:before="80"/>
        <w:jc w:val="both"/>
      </w:pPr>
      <w:r>
        <w:rPr>
          <w:rFonts w:ascii="Arial" w:cs="Arial" w:eastAsia="Arial" w:hAnsi="Arial"/>
          <w:b w:val="false"/>
          <w:bCs w:val="false"/>
          <w:i w:val="false"/>
          <w:iCs w:val="false"/>
          <w:color w:val="2d2d2d"/>
          <w:sz w:val="22"/>
          <w:szCs w:val="22"/>
        </w:rPr>
        <w:t xml:space="preserve">The system of claim 2, wherein SLFN11 expression is the molecular implementation of the Spectral Observer terminus — the governance halt activated when O &lt; O_min and reconstruction cannot be completed within W_rescue.</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 7.</w:t>
      </w:r>
    </w:p>
    <w:p>
      <w:pPr>
        <w:spacing w:after="100" w:before="80"/>
        <w:jc w:val="both"/>
      </w:pPr>
      <w:r>
        <w:rPr>
          <w:rFonts w:ascii="Arial" w:cs="Arial" w:eastAsia="Arial" w:hAnsi="Arial"/>
          <w:b w:val="false"/>
          <w:bCs w:val="false"/>
          <w:i w:val="false"/>
          <w:iCs w:val="false"/>
          <w:color w:val="2d2d2d"/>
          <w:sz w:val="22"/>
          <w:szCs w:val="22"/>
        </w:rPr>
        <w:t xml:space="preserve">The mapping of claim 1, wherein the three EOLRP properties — deterministic, structural, and exchangeable — hold in the biological context: restart is deterministic (identical F_G + ξ → identical S*), structural (S* is re-grown from fork structure, not retrieved from storage), and exchangeable (any compatible restart pathway produces the same S* from any compatible RPA-ssDNA signal).</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 8.</w:t>
      </w:r>
    </w:p>
    <w:p>
      <w:pPr>
        <w:spacing w:after="100" w:before="80"/>
        <w:jc w:val="both"/>
      </w:pPr>
      <w:r>
        <w:rPr>
          <w:rFonts w:ascii="Arial" w:cs="Arial" w:eastAsia="Arial" w:hAnsi="Arial"/>
          <w:b w:val="false"/>
          <w:bCs w:val="false"/>
          <w:i w:val="false"/>
          <w:iCs w:val="false"/>
          <w:color w:val="2d2d2d"/>
          <w:sz w:val="22"/>
          <w:szCs w:val="22"/>
        </w:rPr>
        <w:t xml:space="preserve">The system of claim 2, wherein the Lindblad Rescue Operator orthogonality condition Tr(L_j† · L_rescue) = 0 for all decoherence operators L_j is the formal basis for the clinical synergy of combination therapies targeting orthogonal DNA repair pathways, and the violation of this condition (rescue via the same pathway that caused the stall) predicts therapeutic failure.</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 9.</w:t>
      </w:r>
    </w:p>
    <w:p>
      <w:pPr>
        <w:spacing w:after="100" w:before="80"/>
        <w:jc w:val="both"/>
      </w:pPr>
      <w:r>
        <w:rPr>
          <w:rFonts w:ascii="Arial" w:cs="Arial" w:eastAsia="Arial" w:hAnsi="Arial"/>
          <w:b w:val="false"/>
          <w:bCs w:val="false"/>
          <w:i w:val="false"/>
          <w:iCs w:val="false"/>
          <w:color w:val="2d2d2d"/>
          <w:sz w:val="22"/>
          <w:szCs w:val="22"/>
        </w:rPr>
        <w:t xml:space="preserve">A constitutional AI governance system for clinical genomic monitoring implementing the EOLRP formal mapping to: monitor RPA-ssDNA accumulation as the re-instantiation signal ξ; compute F_G from cell cycle state and repair pathway expression profiles; evaluate α(O_{repair}) from available repair pathway capacity; predict restart success or failure from W_rescue vs. T_reconstruction analysis; classify resistance mechanisms as coupling failures (Q_L drift) or convergence delays (Q_L delay) based on the Spectral Observer signal pattern.</w:t>
      </w:r>
    </w:p>
    <w:p>
      <w:pPr>
        <w:spacing w:after="80" w:before="0"/>
      </w:pPr>
      <w:r>
        <w:t xml:space="preserve"/>
      </w:r>
    </w:p>
    <w:p>
      <w:pPr>
        <w:spacing w:after="100" w:before="80"/>
        <w:jc w:val="both"/>
      </w:pPr>
      <w:r>
        <w:rPr>
          <w:rFonts w:ascii="Arial" w:cs="Arial" w:eastAsia="Arial" w:hAnsi="Arial"/>
          <w:b/>
          <w:bCs/>
          <w:i w:val="false"/>
          <w:iCs w:val="false"/>
          <w:color w:val="2d2d2d"/>
          <w:sz w:val="22"/>
          <w:szCs w:val="22"/>
        </w:rPr>
        <w:t xml:space="preserve">Claims 10-20.</w:t>
      </w:r>
    </w:p>
    <w:p>
      <w:pPr>
        <w:spacing w:after="100" w:before="80"/>
        <w:jc w:val="both"/>
      </w:pPr>
      <w:r>
        <w:rPr>
          <w:rFonts w:ascii="Arial" w:cs="Arial" w:eastAsia="Arial" w:hAnsi="Arial"/>
          <w:b w:val="false"/>
          <w:bCs w:val="false"/>
          <w:i w:val="false"/>
          <w:iCs w:val="false"/>
          <w:color w:val="2d2d2d"/>
          <w:sz w:val="22"/>
          <w:szCs w:val="22"/>
        </w:rPr>
        <w:t xml:space="preserve">Additional dependent claims covering: integration with the Lopez Coupling Theorem for Q_L conservation monitoring at replication restart events; application to specific repair pathway combinations in SCLC, NSCLC, and BRCA-deficient cancers; EOLRP formal mapping onto the Fanconi Anemia pathway for interstrand crosslink repair; extension to meiotic replication restart; application to replication restart in quantum-hybrid biological simulation environments under QUIRQ governance; integration with the Nuclear Islands of Stability framework for analogous nuclear state reconstruction; exchange-mediated restart in multicellular systems (gap junction transfer of RPA-ssDNA signals); computational EOLRP implementation for synthetic biology applications; machine learning-guided F_G parameter estimation from clinical genomic data; and pharmaceutical target identification from W_rescue analysis across cancer subtypes. Full claim set available upon request for non-provisional filing.</w:t>
      </w:r>
    </w:p>
    <w:p>
      <w:r>
        <w:br/>
      </w:r>
    </w:p>
    <w:p>
      <w:pPr>
        <w:pStyle w:val="Heading1"/>
        <w:pBdr>
          <w:bottom w:val="single" w:color="0a6abf" w:sz="8" w:space="6"/>
        </w:pBdr>
        <w:spacing w:after="180" w:before="440"/>
      </w:pPr>
      <w:r>
        <w:rPr>
          <w:rFonts w:ascii="Arial" w:cs="Arial" w:eastAsia="Arial" w:hAnsi="Arial"/>
          <w:b/>
          <w:bCs/>
          <w:color w:val="1a3a5c"/>
          <w:sz w:val="36"/>
          <w:szCs w:val="36"/>
        </w:rPr>
        <w:t xml:space="preserve">7. Global Coherence Across the DocGrokHealth Formal Mapping Series</w:t>
      </w:r>
    </w:p>
    <w:p>
      <w:pPr>
        <w:spacing w:after="100" w:before="80"/>
        <w:jc w:val="both"/>
      </w:pPr>
      <w:r>
        <w:rPr>
          <w:rFonts w:ascii="Arial" w:cs="Arial" w:eastAsia="Arial" w:hAnsi="Arial"/>
          <w:b w:val="false"/>
          <w:bCs w:val="false"/>
          <w:i w:val="false"/>
          <w:iCs w:val="false"/>
          <w:color w:val="2d2d2d"/>
          <w:sz w:val="22"/>
          <w:szCs w:val="22"/>
        </w:rPr>
        <w:t xml:space="preserve">This document is the second in the DocGrokHealth Formal Mapping Series. It is globally coherent with Document 1 (Constitutional Governance of DNA Repair) through the shared invariant. The relationship between the two documents is precise: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5d5e8" w:sz="1"/>
              <w:left w:val="single" w:color="c5d5e8" w:sz="1"/>
              <w:bottom w:val="single" w:color="c5d5e8" w:sz="1"/>
              <w:right w:val="single" w:color="c5d5e8" w:sz="1"/>
            </w:tcBorders>
            <w:shd w:fill="0a6abf" w:val="clear"/>
            <w:tcMar>
              <w:top w:type="dxa" w:w="90"/>
              <w:left w:type="dxa" w:w="130"/>
              <w:bottom w:type="dxa" w:w="90"/>
              <w:right w:type="dxa" w:w="130"/>
            </w:tcMar>
          </w:tcPr>
          <w:p>
            <w:r>
              <w:rPr>
                <w:rFonts w:ascii="Arial" w:cs="Arial" w:eastAsia="Arial" w:hAnsi="Arial"/>
                <w:b/>
                <w:bCs/>
                <w:color w:val="FFFFFF"/>
                <w:sz w:val="20"/>
                <w:szCs w:val="20"/>
              </w:rPr>
              <w:t xml:space="preserve">Document 1 Claim</w:t>
            </w:r>
          </w:p>
        </w:tc>
        <w:tc>
          <w:tcPr>
            <w:tcW w:type="dxa" w:w="3240"/>
            <w:tcBorders>
              <w:top w:val="single" w:color="c5d5e8" w:sz="1"/>
              <w:left w:val="single" w:color="c5d5e8" w:sz="1"/>
              <w:bottom w:val="single" w:color="c5d5e8" w:sz="1"/>
              <w:right w:val="single" w:color="c5d5e8" w:sz="1"/>
            </w:tcBorders>
            <w:shd w:fill="0a6abf" w:val="clear"/>
            <w:tcMar>
              <w:top w:type="dxa" w:w="90"/>
              <w:left w:type="dxa" w:w="130"/>
              <w:bottom w:type="dxa" w:w="90"/>
              <w:right w:type="dxa" w:w="130"/>
            </w:tcMar>
          </w:tcPr>
          <w:p>
            <w:r>
              <w:rPr>
                <w:rFonts w:ascii="Arial" w:cs="Arial" w:eastAsia="Arial" w:hAnsi="Arial"/>
                <w:b/>
                <w:bCs/>
                <w:color w:val="FFFFFF"/>
                <w:sz w:val="20"/>
                <w:szCs w:val="20"/>
              </w:rPr>
              <w:t xml:space="preserve">Document 2 Extension</w:t>
            </w:r>
          </w:p>
        </w:tc>
        <w:tc>
          <w:tcPr>
            <w:tcW w:type="dxa" w:w="3240"/>
            <w:tcBorders>
              <w:top w:val="single" w:color="c5d5e8" w:sz="1"/>
              <w:left w:val="single" w:color="c5d5e8" w:sz="1"/>
              <w:bottom w:val="single" w:color="c5d5e8" w:sz="1"/>
              <w:right w:val="single" w:color="c5d5e8" w:sz="1"/>
            </w:tcBorders>
            <w:shd w:fill="0a6abf" w:val="clear"/>
            <w:tcMar>
              <w:top w:type="dxa" w:w="90"/>
              <w:left w:type="dxa" w:w="130"/>
              <w:bottom w:type="dxa" w:w="90"/>
              <w:right w:type="dxa" w:w="130"/>
            </w:tcMar>
          </w:tcPr>
          <w:p>
            <w:r>
              <w:rPr>
                <w:rFonts w:ascii="Arial" w:cs="Arial" w:eastAsia="Arial" w:hAnsi="Arial"/>
                <w:b/>
                <w:bCs/>
                <w:color w:val="FFFFFF"/>
                <w:sz w:val="20"/>
                <w:szCs w:val="20"/>
              </w:rPr>
              <w:t xml:space="preserve">Global Invariant</w:t>
            </w:r>
          </w:p>
        </w:tc>
      </w:tr>
      <w:tr>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Cancer is a constitutional governance failure — sustained inadmissible state propagation</w:t>
            </w:r>
          </w:p>
        </w:tc>
        <w:tc>
          <w:tcPr>
            <w:tcW w:type="dxa" w:w="32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Replication restart is the Echo Operator reconstruction event that prevents governance failure from becoming permanent</w:t>
            </w:r>
          </w:p>
        </w:tc>
        <w:tc>
          <w:tcPr>
            <w:tcW w:type="dxa" w:w="32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S ∩ I(S) at every fork event — both restart success and governance halt are constitutionally valid outcomes</w:t>
            </w:r>
          </w:p>
        </w:tc>
      </w:tr>
      <w:tr>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PARP1 is the biological inspection operator I(S)</w:t>
            </w:r>
          </w:p>
        </w:tc>
        <w:tc>
          <w:tcPr>
            <w:tcW w:type="dxa" w:w="324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PARP trapping narrows W_rescue by blocking the ssDNA access needed for ξ formation</w:t>
            </w:r>
          </w:p>
        </w:tc>
        <w:tc>
          <w:tcPr>
            <w:tcW w:type="dxa" w:w="324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I(S) disruption propagates through both the co-constitution layer and the EOLRP reconstruction layer</w:t>
            </w:r>
          </w:p>
        </w:tc>
      </w:tr>
      <w:tr>
        <w:tc>
          <w:tcPr>
            <w:tcW w:type="dxa" w:w="288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PARPi resistance mechanisms are Q_L coupling failures</w:t>
            </w:r>
          </w:p>
        </w:tc>
        <w:tc>
          <w:tcPr>
            <w:tcW w:type="dxa" w:w="32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TLS is an authority escalation violation producing a Q_L signature distinguishable from coupling failures</w:t>
            </w:r>
          </w:p>
        </w:tc>
        <w:tc>
          <w:tcPr>
            <w:tcW w:type="dxa" w:w="3240"/>
            <w:tcBorders>
              <w:top w:val="single" w:color="c5d5e8" w:sz="1"/>
              <w:left w:val="single" w:color="c5d5e8" w:sz="1"/>
              <w:bottom w:val="single" w:color="c5d5e8" w:sz="1"/>
              <w:right w:val="single" w:color="c5d5e8" w:sz="1"/>
            </w:tcBorders>
            <w:shd w:fill="FFFFFF" w:val="clear"/>
            <w:tcMar>
              <w:top w:type="dxa" w:w="80"/>
              <w:left w:type="dxa" w:w="130"/>
              <w:bottom w:type="dxa" w:w="80"/>
              <w:right w:type="dxa" w:w="130"/>
            </w:tcMar>
          </w:tcPr>
          <w:p>
            <w:r>
              <w:rPr>
                <w:rFonts w:ascii="Arial" w:cs="Arial" w:eastAsia="Arial" w:hAnsi="Arial"/>
                <w:color w:val="2d2d2d"/>
                <w:sz w:val="20"/>
                <w:szCs w:val="20"/>
              </w:rPr>
              <w:t xml:space="preserve">Every resistance mechanism is classifiable by its Q_L signature: drift (coupling failure), delay (convergence delay), or escalation (TLS)</w:t>
            </w:r>
          </w:p>
        </w:tc>
      </w:tr>
      <w:tr>
        <w:tc>
          <w:tcPr>
            <w:tcW w:type="dxa" w:w="288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Echo Operator is the verify-before-commit layer</w:t>
            </w:r>
          </w:p>
        </w:tc>
        <w:tc>
          <w:tcPr>
            <w:tcW w:type="dxa" w:w="324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EOLRP is the complete protocol specifying deterministic, structural, exchangeable reconstruction</w:t>
            </w:r>
          </w:p>
        </w:tc>
        <w:tc>
          <w:tcPr>
            <w:tcW w:type="dxa" w:w="3240"/>
            <w:tcBorders>
              <w:top w:val="single" w:color="c5d5e8" w:sz="1"/>
              <w:left w:val="single" w:color="c5d5e8" w:sz="1"/>
              <w:bottom w:val="single" w:color="c5d5e8" w:sz="1"/>
              <w:right w:val="single" w:color="c5d5e8" w:sz="1"/>
            </w:tcBorders>
            <w:shd w:fill="f4f6f9" w:val="clear"/>
            <w:tcMar>
              <w:top w:type="dxa" w:w="80"/>
              <w:left w:type="dxa" w:w="130"/>
              <w:bottom w:type="dxa" w:w="80"/>
              <w:right w:type="dxa" w:w="130"/>
            </w:tcMar>
          </w:tcPr>
          <w:p>
            <w:r>
              <w:rPr>
                <w:rFonts w:ascii="Arial" w:cs="Arial" w:eastAsia="Arial" w:hAnsi="Arial"/>
                <w:color w:val="2d2d2d"/>
                <w:sz w:val="20"/>
                <w:szCs w:val="20"/>
              </w:rPr>
              <w:t xml:space="preserve">EOLRP is the operational specification of what the Echo Operator does at the replication fork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single" w:color="0a6abf" w:sz="12"/>
              <w:left w:val="single" w:color="0a6abf" w:sz="24"/>
              <w:bottom w:val="single" w:color="cccccc" w:sz="4"/>
              <w:right w:val="none" w:color="FFFFFF" w:sz="0"/>
            </w:tcBorders>
            <w:shd w:fill="dce9f5" w:val="clear"/>
            <w:tcMar>
              <w:top w:type="dxa" w:w="120"/>
              <w:left w:type="dxa" w:w="200"/>
              <w:bottom w:type="dxa" w:w="120"/>
              <w:right w:type="dxa" w:w="120"/>
            </w:tcMar>
          </w:tcPr>
          <w:p>
            <w:pPr>
              <w:spacing w:after="60" w:before="0"/>
            </w:pPr>
            <w:r>
              <w:rPr>
                <w:rFonts w:ascii="Arial" w:cs="Arial" w:eastAsia="Arial" w:hAnsi="Arial"/>
                <w:b/>
                <w:bCs/>
                <w:caps/>
                <w:color w:val="0a6abf"/>
                <w:sz w:val="20"/>
                <w:szCs w:val="20"/>
              </w:rPr>
              <w:t xml:space="preserve">The Unified Constitutional Theory of DNA Repair</w:t>
            </w:r>
          </w:p>
          <w:p>
            <w:pPr>
              <w:spacing w:after="0" w:before="0"/>
              <w:jc w:val="both"/>
            </w:pPr>
            <w:r>
              <w:rPr>
                <w:rFonts w:ascii="Arial" w:cs="Arial" w:eastAsia="Arial" w:hAnsi="Arial"/>
                <w:i/>
                <w:iCs/>
                <w:color w:val="1a1a2e"/>
                <w:sz w:val="22"/>
                <w:szCs w:val="22"/>
              </w:rPr>
              <w:t xml:space="preserve">Document 1 establishes: what governance is at the DNA layer (co-constitution condition, Q_L conservation, no-escalation invariant). Document 2 establishes: how governance reconstructs itself after failure (EOLRP, Echo Operator, Threefold Cord, Spectral Observer, Lindblad Rescue). Together they constitute a complete constitutional theory of DNA repair — from governance enforcement through governance reconstruction — with every claim grounded in filed IP and peer-reviewed molecular biology.</w:t>
            </w:r>
          </w:p>
        </w:tc>
      </w:tr>
    </w:tbl>
    <w:p>
      <w:pPr>
        <w:spacing w:after="160" w:before="0"/>
      </w:pPr>
      <w:r>
        <w:t xml:space="preserve"/>
      </w:r>
    </w:p>
    <w:p>
      <w:pPr>
        <w:pBdr>
          <w:top w:val="single" w:color="0a6abf" w:sz="8" w:space="8"/>
        </w:pBdr>
        <w:spacing w:after="80" w:before="240"/>
        <w:jc w:val="center"/>
      </w:pPr>
      <w:r>
        <w:rPr>
          <w:rFonts w:ascii="Arial" w:cs="Arial" w:eastAsia="Arial" w:hAnsi="Arial"/>
          <w:b/>
          <w:bCs/>
          <w:color w:val="1a3a5c"/>
          <w:sz w:val="20"/>
          <w:szCs w:val="20"/>
        </w:rPr>
        <w:t xml:space="preserve">DCGP.AI  |  DocGrokHealth  |  Joshua Lopez, Founder &amp; Chief Architect</w:t>
      </w:r>
    </w:p>
    <w:p>
      <w:pPr>
        <w:spacing w:after="40" w:before="0"/>
        <w:jc w:val="center"/>
      </w:pPr>
      <w:r>
        <w:rPr>
          <w:rFonts w:ascii="Arial" w:cs="Arial" w:eastAsia="Arial" w:hAnsi="Arial"/>
          <w:i/>
          <w:iCs/>
          <w:color w:val="888888"/>
          <w:sz w:val="18"/>
          <w:szCs w:val="18"/>
        </w:rPr>
        <w:t xml:space="preserve">Formal Mapping Series — Document 2  |  June 7, 2026  |  Patent Pending</w:t>
      </w:r>
    </w:p>
    <w:p>
      <w:pPr>
        <w:spacing w:after="0" w:before="0"/>
        <w:jc w:val="center"/>
      </w:pPr>
      <w:r>
        <w:rPr>
          <w:rFonts w:ascii="Arial" w:cs="Arial" w:eastAsia="Arial" w:hAnsi="Arial"/>
          <w:i/>
          <w:iCs/>
          <w:color w:val="888888"/>
          <w:sz w:val="18"/>
          <w:szCs w:val="18"/>
        </w:rPr>
        <w:t xml:space="preserve">CONFIDENTIAL — All rights reserved. Unauthorized distribution prohibited.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abf" w:sz="4" w:space="4"/>
      </w:pBdr>
      <w:tabs>
        <w:tab w:val="right" w:pos="9360"/>
      </w:tabs>
      <w:spacing w:after="0" w:before="80"/>
    </w:pPr>
    <w:r>
      <w:rPr>
        <w:rFonts w:ascii="Arial" w:cs="Arial" w:eastAsia="Arial" w:hAnsi="Arial"/>
        <w:color w:val="888888"/>
        <w:sz w:val="16"/>
        <w:szCs w:val="16"/>
      </w:rPr>
      <w:t xml:space="preserve">CONFIDENTIAL — Patent Pending — Joshua Lopez, DCGP.AI / DocGrokHealth — June 7,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abf" w:sz="4" w:space="4"/>
      </w:pBdr>
      <w:spacing w:after="80" w:before="0"/>
    </w:pPr>
    <w:r>
      <w:rPr>
        <w:rFonts w:ascii="Arial" w:cs="Arial" w:eastAsia="Arial" w:hAnsi="Arial"/>
        <w:i/>
        <w:iCs/>
        <w:color w:val="888888"/>
        <w:sz w:val="18"/>
        <w:szCs w:val="18"/>
      </w:rPr>
      <w:t xml:space="preserve">DCGP.AI  |  EOLRP + Echo Operator  |  Replication Restart as Lossless Governed Reconstruction  |  June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90" w:before="220"/>
      <w:outlineLvl w:val="2"/>
    </w:pPr>
    <w:rPr>
      <w:rFonts w:ascii="Arial" w:cs="Arial" w:eastAsia="Arial" w:hAnsi="Arial"/>
      <w:b/>
      <w:bCs/>
      <w:color w:val="0a6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2026-06-08T16:12:25.658Z</dcterms:created>
  <dcterms:modified xsi:type="dcterms:W3CDTF">2026-06-08T16:12:25.674Z</dcterms:modified>
</cp:coreProperties>
</file>

<file path=docProps/custom.xml><?xml version="1.0" encoding="utf-8"?>
<Properties xmlns="http://schemas.openxmlformats.org/officeDocument/2006/custom-properties" xmlns:vt="http://schemas.openxmlformats.org/officeDocument/2006/docPropsVTypes"/>
</file>