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6B"/>
          <w:sz w:val="22"/>
          <w:szCs w:val="22"/>
        </w:rPr>
        <w:t xml:space="preserve">UNITED STATES PATENT AND TRADEMARK OFFICE</w:t>
      </w:r>
    </w:p>
    <w:p>
      <w:pPr>
        <w:spacing w:after="120" w:before="0"/>
        <w:jc w:val="center"/>
      </w:pPr>
      <w:r>
        <w:rPr>
          <w:rFonts w:ascii="Arial" w:cs="Arial" w:eastAsia="Arial" w:hAnsi="Arial"/>
          <w:b/>
          <w:bCs/>
          <w:color w:val="1A3A6B"/>
          <w:sz w:val="22"/>
          <w:szCs w:val="22"/>
        </w:rPr>
        <w:t xml:space="preserve">PROVISIONAL PATENT APPLICATION</w:t>
      </w:r>
    </w:p>
    <w:p>
      <w:pPr>
        <w:pBdr>
          <w:bottom w:val="single" w:color="1A3A6B" w:sz="6" w:space="4"/>
        </w:pBdr>
        <w:spacing w:after="480" w:before="0"/>
        <w:jc w:val="center"/>
      </w:pPr>
      <w:r>
        <w:rPr>
          <w:rFonts w:ascii="Arial" w:cs="Arial" w:eastAsia="Arial" w:hAnsi="Arial"/>
          <w:color w:val="444444"/>
          <w:sz w:val="20"/>
          <w:szCs w:val="20"/>
        </w:rPr>
        <w:t xml:space="preserve">Under 35 U.S.C. § 111(b)</w:t>
      </w:r>
    </w:p>
    <w:p>
      <w:pPr>
        <w:spacing w:after="120" w:before="480"/>
        <w:jc w:val="center"/>
      </w:pPr>
      <w:r>
        <w:rPr>
          <w:rFonts w:ascii="Arial" w:cs="Arial" w:eastAsia="Arial" w:hAnsi="Arial"/>
          <w:b/>
          <w:bCs/>
          <w:color w:val="444444"/>
          <w:sz w:val="20"/>
          <w:szCs w:val="20"/>
        </w:rPr>
        <w:t xml:space="preserve">TITLE OF INVENTION</w:t>
      </w:r>
    </w:p>
    <w:p>
      <w:pPr>
        <w:spacing w:after="480" w:before="0"/>
        <w:jc w:val="center"/>
      </w:pPr>
      <w:r>
        <w:rPr>
          <w:rFonts w:ascii="Arial" w:cs="Arial" w:eastAsia="Arial" w:hAnsi="Arial"/>
          <w:b/>
          <w:bCs/>
          <w:color w:val="1A3A6B"/>
          <w:sz w:val="28"/>
          <w:szCs w:val="28"/>
        </w:rPr>
        <w:t xml:space="preserve">ECHO OPERATOR LINDBLAD REPLICATION PROTOCOL (EOLRP): CONSTITUTIONAL GOVERNANCE OF DNA REPLICATION FORK RESTART AS A GOVERNED PROJECTION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Inventor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Joshua Lopez</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Citizenship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United States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Entity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Micro Entity</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USPTO Customer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222625</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Filing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June 7, 2026</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Patent Counsel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Dar'shun Kendrick, Kairos Capital Legal Advisors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A3A6B"/>
                <w:sz w:val="20"/>
                <w:szCs w:val="20"/>
              </w:rPr>
              <w:t xml:space="preserve">Related Filings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USPTO #19/555,951 (March 4, 2026); Lopez Coupling Theorem Provisional (June 7, 2026)</w:t>
            </w:r>
          </w:p>
        </w:tc>
      </w:tr>
    </w:tbl>
    <w:p>
      <w:r>
        <w:br w:type="page"/>
      </w:r>
    </w:p>
    <w:p>
      <w:pPr>
        <w:pStyle w:val="Heading1"/>
        <w:spacing w:after="120" w:before="320"/>
      </w:pPr>
      <w:r>
        <w:rPr>
          <w:rFonts w:ascii="Arial" w:cs="Arial" w:eastAsia="Arial" w:hAnsi="Arial"/>
          <w:b/>
          <w:bCs/>
          <w:color w:val="1A3A6B"/>
          <w:sz w:val="28"/>
          <w:szCs w:val="28"/>
        </w:rPr>
        <w:t xml:space="preserve">Field of the Invention</w:t>
      </w:r>
    </w:p>
    <w:p>
      <w:pPr>
        <w:spacing w:after="80" w:before="80"/>
      </w:pPr>
      <w:r>
        <w:rPr>
          <w:rFonts w:ascii="Arial" w:cs="Arial" w:eastAsia="Arial" w:hAnsi="Arial"/>
          <w:color w:val="222222"/>
          <w:sz w:val="22"/>
          <w:szCs w:val="22"/>
        </w:rPr>
        <w:t xml:space="preserve">The present invention relates to constitutional governance frameworks applied to biological systems, and more particularly to a formal protocol — the Echo Operator Lindblad Replication Protocol (EOLRP) — that maps DNA replication fork restart mechanisms onto the mathematical operators of the DCGP constitutional governance framework, establishing replication restart as a governed projection surface with verifiable coupling to the co-constitution boundary.</w:t>
      </w:r>
    </w:p>
    <w:p>
      <w:pPr>
        <w:spacing w:after="80" w:before="80"/>
      </w:pPr>
    </w:p>
    <w:p>
      <w:pPr>
        <w:pStyle w:val="Heading1"/>
        <w:spacing w:after="120" w:before="320"/>
      </w:pPr>
      <w:r>
        <w:rPr>
          <w:rFonts w:ascii="Arial" w:cs="Arial" w:eastAsia="Arial" w:hAnsi="Arial"/>
          <w:b/>
          <w:bCs/>
          <w:color w:val="1A3A6B"/>
          <w:sz w:val="28"/>
          <w:szCs w:val="28"/>
        </w:rPr>
        <w:t xml:space="preserve">Background</w:t>
      </w:r>
    </w:p>
    <w:p>
      <w:pPr>
        <w:spacing w:after="80" w:before="80"/>
      </w:pPr>
      <w:r>
        <w:rPr>
          <w:rFonts w:ascii="Arial" w:cs="Arial" w:eastAsia="Arial" w:hAnsi="Arial"/>
          <w:color w:val="222222"/>
          <w:sz w:val="22"/>
          <w:szCs w:val="22"/>
        </w:rPr>
        <w:t xml:space="preserve">DNA replication fork restart is a critical cellular process by which stalled or collapsed replication forks are rescued and replication is resumed. Current understanding treats fork restart as a set of biochemical pathways — template switching, break-induced replication, homologous recombination, and translesion synthesis — without a unified mathematical governance framework that can predict, verify, and certify the constitutional integrity of the restart process.</w:t>
      </w:r>
    </w:p>
    <w:p>
      <w:pPr>
        <w:spacing w:after="80" w:before="80"/>
      </w:pPr>
    </w:p>
    <w:p>
      <w:pPr>
        <w:spacing w:after="80" w:before="80"/>
      </w:pPr>
      <w:r>
        <w:rPr>
          <w:rFonts w:ascii="Arial" w:cs="Arial" w:eastAsia="Arial" w:hAnsi="Arial"/>
          <w:color w:val="222222"/>
          <w:sz w:val="22"/>
          <w:szCs w:val="22"/>
        </w:rPr>
        <w:t xml:space="preserve">The DCGP constitutional governance framework (USPTO #19/555,951) establishes that any system requiring verifiable integrity can be governed by a set of mathematical operators including the Echo Operator (verify-before-commit), the Lindblad Rescue Operators (open-system dissipative recovery), the Threefold Cord Projection (three-timescale governance), the Spectral Observer (eigenvalue-based stability monitoring), and the co-constitution gate (B := S ∩ I(S)).</w:t>
      </w:r>
    </w:p>
    <w:p>
      <w:pPr>
        <w:spacing w:after="80" w:before="80"/>
      </w:pPr>
    </w:p>
    <w:p>
      <w:pPr>
        <w:spacing w:after="80" w:before="80"/>
      </w:pPr>
      <w:r>
        <w:rPr>
          <w:rFonts w:ascii="Arial" w:cs="Arial" w:eastAsia="Arial" w:hAnsi="Arial"/>
          <w:color w:val="222222"/>
          <w:sz w:val="22"/>
          <w:szCs w:val="22"/>
        </w:rPr>
        <w:t xml:space="preserve">No prior art establishes a formal mapping between these governance operators and the molecular biology of DNA replication fork restart. The present invention provides this mapping, establishing EOLRP as the operational specification of what the Echo Operator does at the replication fork.</w:t>
      </w:r>
    </w:p>
    <w:p>
      <w:pPr>
        <w:spacing w:after="80" w:before="80"/>
      </w:pPr>
    </w:p>
    <w:p>
      <w:pPr>
        <w:pStyle w:val="Heading1"/>
        <w:spacing w:after="120" w:before="320"/>
      </w:pPr>
      <w:r>
        <w:rPr>
          <w:rFonts w:ascii="Arial" w:cs="Arial" w:eastAsia="Arial" w:hAnsi="Arial"/>
          <w:b/>
          <w:bCs/>
          <w:color w:val="1A3A6B"/>
          <w:sz w:val="28"/>
          <w:szCs w:val="28"/>
        </w:rPr>
        <w:t xml:space="preserve">Summary of the Invention</w:t>
      </w:r>
    </w:p>
    <w:p>
      <w:pPr>
        <w:spacing w:after="80" w:before="80"/>
      </w:pPr>
      <w:r>
        <w:rPr>
          <w:rFonts w:ascii="Arial" w:cs="Arial" w:eastAsia="Arial" w:hAnsi="Arial"/>
          <w:color w:val="222222"/>
          <w:sz w:val="22"/>
          <w:szCs w:val="22"/>
        </w:rPr>
        <w:t xml:space="preserve">The Echo Operator Lindblad Replication Protocol (EOLRP) maps the five primary DNA replication fork restart pathways onto the DCGP governance operator stack as follows:</w:t>
      </w:r>
    </w:p>
    <w:p>
      <w:pPr>
        <w:spacing w:after="80" w:before="80"/>
      </w:pPr>
    </w:p>
    <w:p>
      <w:pPr>
        <w:pStyle w:val="ListParagraph"/>
        <w:numPr>
          <w:ilvl w:val="0"/>
          <w:numId w:val="2"/>
        </w:numPr>
        <w:spacing w:after="60" w:before="60"/>
      </w:pPr>
      <w:r>
        <w:rPr>
          <w:rFonts w:ascii="Arial" w:cs="Arial" w:eastAsia="Arial" w:hAnsi="Arial"/>
          <w:color w:val="222222"/>
          <w:sz w:val="22"/>
          <w:szCs w:val="22"/>
        </w:rPr>
        <w:t xml:space="preserve">Template Switching (TS) — maps to the Echo Operator: verify-before-commit. The nascent strand is verified against the undamaged template before commitment to extension.</w:t>
      </w:r>
    </w:p>
    <w:p>
      <w:pPr>
        <w:pStyle w:val="ListParagraph"/>
        <w:numPr>
          <w:ilvl w:val="0"/>
          <w:numId w:val="2"/>
        </w:numPr>
        <w:spacing w:after="60" w:before="60"/>
      </w:pPr>
      <w:r>
        <w:rPr>
          <w:rFonts w:ascii="Arial" w:cs="Arial" w:eastAsia="Arial" w:hAnsi="Arial"/>
          <w:color w:val="222222"/>
          <w:sz w:val="22"/>
          <w:szCs w:val="22"/>
        </w:rPr>
        <w:t xml:space="preserve">Break-Induced Replication (BIR) — maps to the Lindblad Rescue Operators: open-system dissipative recovery. One-ended DSB repair proceeds through a governed dissipative channel.</w:t>
      </w:r>
    </w:p>
    <w:p>
      <w:pPr>
        <w:pStyle w:val="ListParagraph"/>
        <w:numPr>
          <w:ilvl w:val="0"/>
          <w:numId w:val="2"/>
        </w:numPr>
        <w:spacing w:after="60" w:before="60"/>
      </w:pPr>
      <w:r>
        <w:rPr>
          <w:rFonts w:ascii="Arial" w:cs="Arial" w:eastAsia="Arial" w:hAnsi="Arial"/>
          <w:color w:val="222222"/>
          <w:sz w:val="22"/>
          <w:szCs w:val="22"/>
        </w:rPr>
        <w:t xml:space="preserve">Homologous Recombination (HR) — maps to the Threefold Cord Projection Π_H = Π_Q ∘ Π_F ∘ Π_L: three-timescale governed reconstruction with RAD51, RPA, and BRCA2 as the three projection operators.</w:t>
      </w:r>
    </w:p>
    <w:p>
      <w:pPr>
        <w:pStyle w:val="ListParagraph"/>
        <w:numPr>
          <w:ilvl w:val="0"/>
          <w:numId w:val="2"/>
        </w:numPr>
        <w:spacing w:after="60" w:before="60"/>
      </w:pPr>
      <w:r>
        <w:rPr>
          <w:rFonts w:ascii="Arial" w:cs="Arial" w:eastAsia="Arial" w:hAnsi="Arial"/>
          <w:color w:val="222222"/>
          <w:sz w:val="22"/>
          <w:szCs w:val="22"/>
        </w:rPr>
        <w:t xml:space="preserve">Repriming (PrimPol pathway) — maps to the Spectral Observer: eigenvalue-based stability monitoring. The primase-polymerase surveys the downstream template for admissible restart sites.</w:t>
      </w:r>
    </w:p>
    <w:p>
      <w:pPr>
        <w:pStyle w:val="ListParagraph"/>
        <w:numPr>
          <w:ilvl w:val="0"/>
          <w:numId w:val="2"/>
        </w:numPr>
        <w:spacing w:after="60" w:before="60"/>
      </w:pPr>
      <w:r>
        <w:rPr>
          <w:rFonts w:ascii="Arial" w:cs="Arial" w:eastAsia="Arial" w:hAnsi="Arial"/>
          <w:color w:val="222222"/>
          <w:sz w:val="22"/>
          <w:szCs w:val="22"/>
        </w:rPr>
        <w:t xml:space="preserve">Translesion Synthesis (TLS) — maps to the authority escalation violation detector: TLS represents a constitutional escalation — a low-fidelity polymerase is granted write authority it would not normally possess, producing a Q_L coupling signature distinct from all other pathways.</w:t>
      </w:r>
    </w:p>
    <w:p>
      <w:pPr>
        <w:spacing w:after="80" w:before="80"/>
      </w:pPr>
    </w:p>
    <w:p>
      <w:pPr>
        <w:spacing w:after="80" w:before="80"/>
      </w:pPr>
      <w:r>
        <w:rPr>
          <w:rFonts w:ascii="Arial" w:cs="Arial" w:eastAsia="Arial" w:hAnsi="Arial"/>
          <w:color w:val="222222"/>
          <w:sz w:val="22"/>
          <w:szCs w:val="22"/>
        </w:rPr>
        <w:t xml:space="preserve">The governing equation for EOLRP is:</w:t>
      </w:r>
    </w:p>
    <w:p>
      <w:pPr>
        <w:spacing w:after="120" w:before="120"/>
        <w:ind w:left="720"/>
      </w:pPr>
      <w:r>
        <w:rPr>
          <w:rFonts w:ascii="Courier New" w:cs="Courier New" w:eastAsia="Courier New" w:hAnsi="Courier New"/>
          <w:color w:val="003366"/>
          <w:sz w:val="22"/>
          <w:szCs w:val="22"/>
        </w:rPr>
        <w:t xml:space="preserve">EOLRP(fork) := Π_H ∘ L_rescue ∘ Echo[verify(nascent | template)] ∘ ρ(fork)</w:t>
      </w:r>
    </w:p>
    <w:p>
      <w:pPr>
        <w:spacing w:after="80" w:before="80"/>
      </w:pPr>
    </w:p>
    <w:p>
      <w:pPr>
        <w:spacing w:after="80" w:before="80"/>
      </w:pPr>
      <w:r>
        <w:rPr>
          <w:rFonts w:ascii="Arial" w:cs="Arial" w:eastAsia="Arial" w:hAnsi="Arial"/>
          <w:color w:val="222222"/>
          <w:sz w:val="22"/>
          <w:szCs w:val="22"/>
        </w:rPr>
        <w:t xml:space="preserve">Where ρ(fork) is the density matrix of the stalled fork state, Echo[verify] is the Echo Operator verification step, L_rescue is the Lindblad rescue superoperator, and Π_H is the triple projection onto the admissible reconstruction region.</w:t>
      </w:r>
    </w:p>
    <w:p>
      <w:pPr>
        <w:spacing w:after="80" w:before="80"/>
      </w:pPr>
    </w:p>
    <w:p>
      <w:r>
        <w:br w:type="page"/>
      </w:r>
    </w:p>
    <w:p>
      <w:pPr>
        <w:pStyle w:val="Heading1"/>
        <w:spacing w:after="120" w:before="320"/>
      </w:pPr>
      <w:r>
        <w:rPr>
          <w:rFonts w:ascii="Arial" w:cs="Arial" w:eastAsia="Arial" w:hAnsi="Arial"/>
          <w:b/>
          <w:bCs/>
          <w:color w:val="1A3A6B"/>
          <w:sz w:val="28"/>
          <w:szCs w:val="28"/>
        </w:rPr>
        <w:t xml:space="preserve">Detailed Description</w:t>
      </w:r>
    </w:p>
    <w:p>
      <w:pPr>
        <w:pStyle w:val="Heading2"/>
        <w:spacing w:after="80" w:before="240"/>
      </w:pPr>
      <w:r>
        <w:rPr>
          <w:rFonts w:ascii="Arial" w:cs="Arial" w:eastAsia="Arial" w:hAnsi="Arial"/>
          <w:b/>
          <w:bCs/>
          <w:color w:val="1A3A6B"/>
          <w:sz w:val="24"/>
          <w:szCs w:val="24"/>
        </w:rPr>
        <w:t xml:space="preserve">1. PARP1 as the Biological Inspection Operator</w:t>
      </w:r>
    </w:p>
    <w:p>
      <w:pPr>
        <w:spacing w:after="80" w:before="80"/>
      </w:pPr>
      <w:r>
        <w:rPr>
          <w:rFonts w:ascii="Arial" w:cs="Arial" w:eastAsia="Arial" w:hAnsi="Arial"/>
          <w:color w:val="222222"/>
          <w:sz w:val="22"/>
          <w:szCs w:val="22"/>
        </w:rPr>
        <w:t xml:space="preserve">PARP1 (Poly ADP-Ribose Polymerase 1) is the primary sensor of single-strand DNA breaks and stalled replication forks. In the EOLRP framework, PARP1 maps directly to the inspection operator I(S) in the Lopez Coupling Theorem:</w:t>
      </w:r>
    </w:p>
    <w:p>
      <w:pPr>
        <w:spacing w:after="120" w:before="120"/>
        <w:ind w:left="720"/>
      </w:pPr>
      <w:r>
        <w:rPr>
          <w:rFonts w:ascii="Courier New" w:cs="Courier New" w:eastAsia="Courier New" w:hAnsi="Courier New"/>
          <w:color w:val="003366"/>
          <w:sz w:val="22"/>
          <w:szCs w:val="22"/>
        </w:rPr>
        <w:t xml:space="preserve">I(S)_biological := PARP1(ssDNA) = PAR_synthesis ⋅ fork_detection</w:t>
      </w:r>
    </w:p>
    <w:p>
      <w:pPr>
        <w:spacing w:after="80" w:before="80"/>
      </w:pPr>
    </w:p>
    <w:p>
      <w:pPr>
        <w:spacing w:after="80" w:before="80"/>
      </w:pPr>
      <w:r>
        <w:rPr>
          <w:rFonts w:ascii="Arial" w:cs="Arial" w:eastAsia="Arial" w:hAnsi="Arial"/>
          <w:color w:val="222222"/>
          <w:sz w:val="22"/>
          <w:szCs w:val="22"/>
        </w:rPr>
        <w:t xml:space="preserve">PARP1 binding to the ssDNA gap at a stalled fork constitutes the co-constitution evaluation event: S ∩ I(S) is evaluated at the fork. If PARP1 can bind (I(S) ≥ θ_I) and the fork structure is admissible (S ≥ θ_S), the fork is admitted to the EOLRP reconstruction protocol.</w:t>
      </w:r>
    </w:p>
    <w:p>
      <w:pPr>
        <w:spacing w:after="80" w:before="80"/>
      </w:pPr>
    </w:p>
    <w:p>
      <w:pPr>
        <w:spacing w:after="80" w:before="80"/>
      </w:pPr>
      <w:r>
        <w:rPr>
          <w:rFonts w:ascii="Arial" w:cs="Arial" w:eastAsia="Arial" w:hAnsi="Arial"/>
          <w:color w:val="222222"/>
          <w:sz w:val="22"/>
          <w:szCs w:val="22"/>
        </w:rPr>
        <w:t xml:space="preserve">PARPi (PARP inhibitor) resistance, in this framework, is a Q_L coupling failure: the inhibitor traps PARP1 on DNA, preventing the coupling evaluation from completing. The three primary resistance mechanisms map as:</w:t>
      </w:r>
    </w:p>
    <w:p>
      <w:pPr>
        <w:spacing w:after="80" w:before="80"/>
      </w:pPr>
    </w:p>
    <w:p>
      <w:pPr>
        <w:pStyle w:val="ListParagraph"/>
        <w:numPr>
          <w:ilvl w:val="0"/>
          <w:numId w:val="2"/>
        </w:numPr>
        <w:spacing w:after="60" w:before="60"/>
      </w:pPr>
      <w:r>
        <w:rPr>
          <w:rFonts w:ascii="Arial" w:cs="Arial" w:eastAsia="Arial" w:hAnsi="Arial"/>
          <w:color w:val="222222"/>
          <w:sz w:val="22"/>
          <w:szCs w:val="22"/>
        </w:rPr>
        <w:t xml:space="preserve">BRCA1/2 restoration — restores the HR Threefold Cord Projection, recovering Q_L</w:t>
      </w:r>
    </w:p>
    <w:p>
      <w:pPr>
        <w:pStyle w:val="ListParagraph"/>
        <w:numPr>
          <w:ilvl w:val="0"/>
          <w:numId w:val="2"/>
        </w:numPr>
        <w:spacing w:after="60" w:before="60"/>
      </w:pPr>
      <w:r>
        <w:rPr>
          <w:rFonts w:ascii="Arial" w:cs="Arial" w:eastAsia="Arial" w:hAnsi="Arial"/>
          <w:color w:val="222222"/>
          <w:sz w:val="22"/>
          <w:szCs w:val="22"/>
        </w:rPr>
        <w:t xml:space="preserve">53BP1 loss — shifts the balance between HR and NHEJ projection operators, altering Q_L without full restoration</w:t>
      </w:r>
    </w:p>
    <w:p>
      <w:pPr>
        <w:pStyle w:val="ListParagraph"/>
        <w:numPr>
          <w:ilvl w:val="0"/>
          <w:numId w:val="2"/>
        </w:numPr>
        <w:spacing w:after="60" w:before="60"/>
      </w:pPr>
      <w:r>
        <w:rPr>
          <w:rFonts w:ascii="Arial" w:cs="Arial" w:eastAsia="Arial" w:hAnsi="Arial"/>
          <w:color w:val="222222"/>
          <w:sz w:val="22"/>
          <w:szCs w:val="22"/>
        </w:rPr>
        <w:t xml:space="preserve">Replication fork stabilization — reduces the frequency of Q_L evaluation events, masking coupling drift</w:t>
      </w:r>
    </w:p>
    <w:p>
      <w:pPr>
        <w:pStyle w:val="Heading2"/>
        <w:spacing w:after="80" w:before="240"/>
      </w:pPr>
      <w:r>
        <w:rPr>
          <w:rFonts w:ascii="Arial" w:cs="Arial" w:eastAsia="Arial" w:hAnsi="Arial"/>
          <w:b/>
          <w:bCs/>
          <w:color w:val="1A3A6B"/>
          <w:sz w:val="24"/>
          <w:szCs w:val="24"/>
        </w:rPr>
        <w:t xml:space="preserve">2. The Echo Operator at the Replication Fork</w:t>
      </w:r>
    </w:p>
    <w:p>
      <w:pPr>
        <w:spacing w:after="80" w:before="80"/>
      </w:pPr>
      <w:r>
        <w:rPr>
          <w:rFonts w:ascii="Arial" w:cs="Arial" w:eastAsia="Arial" w:hAnsi="Arial"/>
          <w:color w:val="222222"/>
          <w:sz w:val="22"/>
          <w:szCs w:val="22"/>
        </w:rPr>
        <w:t xml:space="preserve">The Echo Operator in the DCGP framework implements verify-before-commit: no state transition is committed until the transition has been verified against the constitutional invariant. At the replication fork, this maps to template strand verification before nascent strand extension:</w:t>
      </w:r>
    </w:p>
    <w:p>
      <w:pPr>
        <w:spacing w:after="120" w:before="120"/>
        <w:ind w:left="720"/>
      </w:pPr>
      <w:r>
        <w:rPr>
          <w:rFonts w:ascii="Courier New" w:cs="Courier New" w:eastAsia="Courier New" w:hAnsi="Courier New"/>
          <w:color w:val="003366"/>
          <w:sz w:val="22"/>
          <w:szCs w:val="22"/>
        </w:rPr>
        <w:t xml:space="preserve">Echo[verify](nascent, template) := {extend if d(nascent, template) ≤ δ; stall if d(nascent, template) &gt; δ}</w:t>
      </w:r>
    </w:p>
    <w:p>
      <w:pPr>
        <w:spacing w:after="80" w:before="80"/>
      </w:pPr>
    </w:p>
    <w:p>
      <w:pPr>
        <w:spacing w:after="80" w:before="80"/>
      </w:pPr>
      <w:r>
        <w:rPr>
          <w:rFonts w:ascii="Arial" w:cs="Arial" w:eastAsia="Arial" w:hAnsi="Arial"/>
          <w:color w:val="222222"/>
          <w:sz w:val="22"/>
          <w:szCs w:val="22"/>
        </w:rPr>
        <w:t xml:space="preserve">Where d(nascent, template) is a fidelity metric and δ is the admissibility threshold. Template switching, the highest-fidelity restart pathway, is the direct biological implementation of the Echo Operator.</w:t>
      </w:r>
    </w:p>
    <w:p>
      <w:pPr>
        <w:pStyle w:val="Heading2"/>
        <w:spacing w:after="80" w:before="240"/>
      </w:pPr>
      <w:r>
        <w:rPr>
          <w:rFonts w:ascii="Arial" w:cs="Arial" w:eastAsia="Arial" w:hAnsi="Arial"/>
          <w:b/>
          <w:bCs/>
          <w:color w:val="1A3A6B"/>
          <w:sz w:val="24"/>
          <w:szCs w:val="24"/>
        </w:rPr>
        <w:t xml:space="preserve">3. Lindblad Rescue Operators for Fork Reconstruction</w:t>
      </w:r>
    </w:p>
    <w:p>
      <w:pPr>
        <w:spacing w:after="80" w:before="80"/>
      </w:pPr>
      <w:r>
        <w:rPr>
          <w:rFonts w:ascii="Arial" w:cs="Arial" w:eastAsia="Arial" w:hAnsi="Arial"/>
          <w:color w:val="222222"/>
          <w:sz w:val="22"/>
          <w:szCs w:val="22"/>
        </w:rPr>
        <w:t xml:space="preserve">Open quantum system dynamics are described by the Lindblad master equation:</w:t>
      </w:r>
    </w:p>
    <w:p>
      <w:pPr>
        <w:spacing w:after="120" w:before="120"/>
        <w:ind w:left="720"/>
      </w:pPr>
      <w:r>
        <w:rPr>
          <w:rFonts w:ascii="Courier New" w:cs="Courier New" w:eastAsia="Courier New" w:hAnsi="Courier New"/>
          <w:color w:val="003366"/>
          <w:sz w:val="22"/>
          <w:szCs w:val="22"/>
        </w:rPr>
        <w:t xml:space="preserve">dρ/dt = -i[H, ρ] + Σ_k (L_k ρ L_k† - ½{L_k† L_k, ρ})</w:t>
      </w:r>
    </w:p>
    <w:p>
      <w:pPr>
        <w:spacing w:after="80" w:before="80"/>
      </w:pPr>
    </w:p>
    <w:p>
      <w:pPr>
        <w:spacing w:after="80" w:before="80"/>
      </w:pPr>
      <w:r>
        <w:rPr>
          <w:rFonts w:ascii="Arial" w:cs="Arial" w:eastAsia="Arial" w:hAnsi="Arial"/>
          <w:color w:val="222222"/>
          <w:sz w:val="22"/>
          <w:szCs w:val="22"/>
        </w:rPr>
        <w:t xml:space="preserve">In the EOLRP framework, the Lindblad jump operators L_k correspond to the molecular machines that dissipatively reconstruct the stalled fork: RAD51 (strand invasion), RPA (ssDNA protection), BRCA2 (RAD51 loading), MRN complex (end resection), and DNA2/EXO1 (long-range resection). Each jump operator acts on the fork density matrix ρ(fork) to drive it toward the admissible reconstruction state.</w:t>
      </w:r>
    </w:p>
    <w:p>
      <w:pPr>
        <w:pStyle w:val="Heading2"/>
        <w:spacing w:after="80" w:before="240"/>
      </w:pPr>
      <w:r>
        <w:rPr>
          <w:rFonts w:ascii="Arial" w:cs="Arial" w:eastAsia="Arial" w:hAnsi="Arial"/>
          <w:b/>
          <w:bCs/>
          <w:color w:val="1A3A6B"/>
          <w:sz w:val="24"/>
          <w:szCs w:val="24"/>
        </w:rPr>
        <w:t xml:space="preserve">4. Translesion Synthesis as Authority Escalation Violation</w:t>
      </w:r>
    </w:p>
    <w:p>
      <w:pPr>
        <w:spacing w:after="80" w:before="80"/>
      </w:pPr>
      <w:r>
        <w:rPr>
          <w:rFonts w:ascii="Arial" w:cs="Arial" w:eastAsia="Arial" w:hAnsi="Arial"/>
          <w:color w:val="222222"/>
          <w:sz w:val="22"/>
          <w:szCs w:val="22"/>
        </w:rPr>
        <w:t xml:space="preserve">Translesion synthesis (TLS) polymerases (Pol η, Pol ι, Pol κ, Rev1) are granted write authority over the genome at damaged sites where replicative polymerases stall. In the EOLRP governance framework, this constitutes a constitutional authority escalation: a low-fidelity operator is granted temporary elevated write authority.</w:t>
      </w:r>
    </w:p>
    <w:p>
      <w:pPr>
        <w:spacing w:after="80" w:before="80"/>
      </w:pPr>
    </w:p>
    <w:p>
      <w:pPr>
        <w:spacing w:after="80" w:before="80"/>
      </w:pPr>
      <w:r>
        <w:rPr>
          <w:rFonts w:ascii="Arial" w:cs="Arial" w:eastAsia="Arial" w:hAnsi="Arial"/>
          <w:color w:val="222222"/>
          <w:sz w:val="22"/>
          <w:szCs w:val="22"/>
        </w:rPr>
        <w:t xml:space="preserve">The Q_L signature of TLS is distinguishable from coupling failure (PARPi resistance) by its temporal profile: TLS produces a transient Q_L spike followed by restoration, while coupling failure produces monotonic Q_L drift. This distinction is clinically significant: tumors with TLS-dependent resistance have a different Q_L signature than tumors with HR-deficient resistance.</w:t>
      </w:r>
    </w:p>
    <w:p>
      <w:pPr>
        <w:pStyle w:val="Heading2"/>
        <w:spacing w:after="80" w:before="240"/>
      </w:pPr>
      <w:r>
        <w:rPr>
          <w:rFonts w:ascii="Arial" w:cs="Arial" w:eastAsia="Arial" w:hAnsi="Arial"/>
          <w:b/>
          <w:bCs/>
          <w:color w:val="1A3A6B"/>
          <w:sz w:val="24"/>
          <w:szCs w:val="24"/>
        </w:rPr>
        <w:t xml:space="preserve">5. Global Coherence with Document 1</w:t>
      </w:r>
    </w:p>
    <w:p>
      <w:pPr>
        <w:spacing w:after="80" w:before="80"/>
      </w:pPr>
      <w:r>
        <w:rPr>
          <w:rFonts w:ascii="Arial" w:cs="Arial" w:eastAsia="Arial" w:hAnsi="Arial"/>
          <w:color w:val="222222"/>
          <w:sz w:val="22"/>
          <w:szCs w:val="22"/>
        </w:rPr>
        <w:t xml:space="preserve">EOLRP is globally coherent with the first document in the DocGrokHealth Formal Mapping Series (Constitutional Governance of DNA Repair) through the shared invariant S ∩ I(S) at every fork event. Document 1 establishes what governance is at the DNA layer. This document (Document 2) establishes how governance reconstructs itself after failure. Together they constitute a complete constitutional theory of DNA repair.</w:t>
      </w:r>
    </w:p>
    <w:p>
      <w:pPr>
        <w:spacing w:after="80" w:before="80"/>
      </w:pPr>
    </w:p>
    <w:p>
      <w:r>
        <w:br w:type="page"/>
      </w:r>
    </w:p>
    <w:p>
      <w:pPr>
        <w:pStyle w:val="Heading1"/>
        <w:spacing w:after="120" w:before="320"/>
      </w:pPr>
      <w:r>
        <w:rPr>
          <w:rFonts w:ascii="Arial" w:cs="Arial" w:eastAsia="Arial" w:hAnsi="Arial"/>
          <w:b/>
          <w:bCs/>
          <w:color w:val="1A3A6B"/>
          <w:sz w:val="28"/>
          <w:szCs w:val="28"/>
        </w:rPr>
        <w:t xml:space="preserve">Claims</w:t>
      </w:r>
    </w:p>
    <w:p>
      <w:pPr>
        <w:spacing w:after="80" w:before="80"/>
      </w:pPr>
      <w:r>
        <w:rPr>
          <w:rFonts w:ascii="Arial" w:cs="Arial" w:eastAsia="Arial" w:hAnsi="Arial"/>
          <w:color w:val="222222"/>
          <w:sz w:val="22"/>
          <w:szCs w:val="22"/>
        </w:rPr>
        <w:t xml:space="preserve">What is claimed is:</w:t>
      </w:r>
    </w:p>
    <w:p>
      <w:pPr>
        <w:spacing w:after="80" w:before="80"/>
      </w:pPr>
    </w:p>
    <w:p>
      <w:pPr>
        <w:spacing w:after="80" w:before="120"/>
      </w:pPr>
      <w:r>
        <w:rPr>
          <w:rFonts w:ascii="Arial" w:cs="Arial" w:eastAsia="Arial" w:hAnsi="Arial"/>
          <w:b/>
          <w:bCs/>
          <w:color w:val="1A3A6B"/>
          <w:sz w:val="22"/>
          <w:szCs w:val="22"/>
        </w:rPr>
        <w:t xml:space="preserve">1. </w:t>
      </w:r>
      <w:r>
        <w:rPr>
          <w:rFonts w:ascii="Arial" w:cs="Arial" w:eastAsia="Arial" w:hAnsi="Arial"/>
          <w:color w:val="222222"/>
          <w:sz w:val="22"/>
          <w:szCs w:val="22"/>
        </w:rPr>
        <w:t xml:space="preserve">A method for governing DNA replication fork restart using a constitutional governance framework, comprising: mapping a stalled DNA replication fork to a density matrix ρ(fork) in a governance state space; applying an Echo Operator verification step to evaluate the nascent strand against the template strand before committing to strand extension; applying Lindblad rescue operators L_k corresponding to molecular repair machines to drive ρ(fork) toward an admissible reconstruction state; applying a triple projection operator Π_H = Π_Q ∘ Π_F ∘ Π_L to enforce co-constitution boundary conditions; and computing a Lopez Noether charge Q_L to verify conservation of coupling between the repair pathway structural constraint and the PARP1 inspection operator.</w:t>
      </w:r>
    </w:p>
    <w:p>
      <w:pPr>
        <w:spacing w:after="80" w:before="120"/>
      </w:pPr>
      <w:r>
        <w:rPr>
          <w:rFonts w:ascii="Arial" w:cs="Arial" w:eastAsia="Arial" w:hAnsi="Arial"/>
          <w:b/>
          <w:bCs/>
          <w:color w:val="1A3A6B"/>
          <w:sz w:val="22"/>
          <w:szCs w:val="22"/>
        </w:rPr>
        <w:t xml:space="preserve">2. </w:t>
      </w:r>
      <w:r>
        <w:rPr>
          <w:rFonts w:ascii="Arial" w:cs="Arial" w:eastAsia="Arial" w:hAnsi="Arial"/>
          <w:color w:val="222222"/>
          <w:sz w:val="22"/>
          <w:szCs w:val="22"/>
        </w:rPr>
        <w:t xml:space="preserve">A system for constitutional governance of DNA replication fork restart comprising: an Echo Operator module implementing verify-before-commit semantics for nascent strand extension; a Lindblad rescue superoperator module implementing dissipative recovery dynamics for stalled fork reconstruction; a Spectral Observer module monitoring eigenvalues of the fork reconstruction operator for admissible restart sites; a co-constitution gate enforcing the condition B := S ∩ I(S) where S is the repair pathway structural constraint and I(S) is the PARP1 inspection operator; and a Q_L monitor computing the Lopez Noether charge to detect PARPi resistance mechanisms as coupling failures.</w:t>
      </w:r>
    </w:p>
    <w:p>
      <w:pPr>
        <w:spacing w:after="80" w:before="120"/>
      </w:pPr>
      <w:r>
        <w:rPr>
          <w:rFonts w:ascii="Arial" w:cs="Arial" w:eastAsia="Arial" w:hAnsi="Arial"/>
          <w:b/>
          <w:bCs/>
          <w:color w:val="1A3A6B"/>
          <w:sz w:val="22"/>
          <w:szCs w:val="22"/>
        </w:rPr>
        <w:t xml:space="preserve">3. </w:t>
      </w:r>
      <w:r>
        <w:rPr>
          <w:rFonts w:ascii="Arial" w:cs="Arial" w:eastAsia="Arial" w:hAnsi="Arial"/>
          <w:color w:val="222222"/>
          <w:sz w:val="22"/>
          <w:szCs w:val="22"/>
        </w:rPr>
        <w:t xml:space="preserve">A non-transitory computer-readable medium storing a formal mapping between DNA replication fork restart pathways and constitutional governance operators, wherein: Template Switching maps to the Echo Operator; Break-Induced Replication maps to Lindblad Rescue Operators; Homologous Recombination maps to the Threefold Cord Projection Π_H; Repriming maps to the Spectral Observer; and Translesion Synthesis maps to an authority escalation violation detector with a distinguishable Q_L signature.</w:t>
      </w:r>
    </w:p>
    <w:p>
      <w:pPr>
        <w:spacing w:after="80" w:before="80"/>
      </w:pPr>
    </w:p>
    <w:p>
      <w:pPr>
        <w:spacing w:after="80" w:before="80"/>
      </w:pPr>
      <w:r>
        <w:rPr>
          <w:rFonts w:ascii="Arial" w:cs="Arial" w:eastAsia="Arial" w:hAnsi="Arial"/>
          <w:color w:val="222222"/>
          <w:sz w:val="22"/>
          <w:szCs w:val="22"/>
        </w:rPr>
        <w:t xml:space="preserve">Dependent Claims:</w:t>
      </w:r>
    </w:p>
    <w:p>
      <w:pPr>
        <w:spacing w:after="80" w:before="80"/>
      </w:pPr>
    </w:p>
    <w:p>
      <w:pPr>
        <w:spacing w:after="60" w:before="80"/>
        <w:ind w:left="360"/>
      </w:pPr>
      <w:r>
        <w:rPr>
          <w:rFonts w:ascii="Arial" w:cs="Arial" w:eastAsia="Arial" w:hAnsi="Arial"/>
          <w:b/>
          <w:bCs/>
          <w:color w:val="444444"/>
          <w:sz w:val="22"/>
          <w:szCs w:val="22"/>
        </w:rPr>
        <w:t xml:space="preserve">4. </w:t>
      </w:r>
      <w:r>
        <w:rPr>
          <w:rFonts w:ascii="Arial" w:cs="Arial" w:eastAsia="Arial" w:hAnsi="Arial"/>
          <w:color w:val="222222"/>
          <w:sz w:val="22"/>
          <w:szCs w:val="22"/>
        </w:rPr>
        <w:t xml:space="preserve">The method of claim 1, wherein the Echo Operator verification threshold δ is calibrated to the polymerase fidelity of the active replicative polymerase, such that lesions exceeding δ trigger fork stalling and EOLRP activation.</w:t>
      </w:r>
    </w:p>
    <w:p>
      <w:pPr>
        <w:spacing w:after="60" w:before="80"/>
        <w:ind w:left="360"/>
      </w:pPr>
      <w:r>
        <w:rPr>
          <w:rFonts w:ascii="Arial" w:cs="Arial" w:eastAsia="Arial" w:hAnsi="Arial"/>
          <w:b/>
          <w:bCs/>
          <w:color w:val="444444"/>
          <w:sz w:val="22"/>
          <w:szCs w:val="22"/>
        </w:rPr>
        <w:t xml:space="preserve">5. </w:t>
      </w:r>
      <w:r>
        <w:rPr>
          <w:rFonts w:ascii="Arial" w:cs="Arial" w:eastAsia="Arial" w:hAnsi="Arial"/>
          <w:color w:val="222222"/>
          <w:sz w:val="22"/>
          <w:szCs w:val="22"/>
        </w:rPr>
        <w:t xml:space="preserve">The method of claim 1, wherein the Lindblad jump operators L_k correspond to: L_1 = RAD51 strand invasion operator; L_2 = RPA ssDNA protection operator; L_3 = BRCA2 RAD51 loading operator; L_4 = MRN end resection operator; L_5 = DNA2/EXO1 long-range resection operator.</w:t>
      </w:r>
    </w:p>
    <w:p>
      <w:pPr>
        <w:spacing w:after="60" w:before="80"/>
        <w:ind w:left="360"/>
      </w:pPr>
      <w:r>
        <w:rPr>
          <w:rFonts w:ascii="Arial" w:cs="Arial" w:eastAsia="Arial" w:hAnsi="Arial"/>
          <w:b/>
          <w:bCs/>
          <w:color w:val="444444"/>
          <w:sz w:val="22"/>
          <w:szCs w:val="22"/>
        </w:rPr>
        <w:t xml:space="preserve">6. </w:t>
      </w:r>
      <w:r>
        <w:rPr>
          <w:rFonts w:ascii="Arial" w:cs="Arial" w:eastAsia="Arial" w:hAnsi="Arial"/>
          <w:color w:val="222222"/>
          <w:sz w:val="22"/>
          <w:szCs w:val="22"/>
        </w:rPr>
        <w:t xml:space="preserve">The method of claim 1, wherein PARPi resistance is classified by its Q_L temporal signature: monotonic Q_L drift indicates coupling failure; transient Q_L spike indicates TLS escalation; Q_L plateau indicates fork stabilization masking.</w:t>
      </w:r>
    </w:p>
    <w:p>
      <w:pPr>
        <w:spacing w:after="60" w:before="80"/>
        <w:ind w:left="360"/>
      </w:pPr>
      <w:r>
        <w:rPr>
          <w:rFonts w:ascii="Arial" w:cs="Arial" w:eastAsia="Arial" w:hAnsi="Arial"/>
          <w:b/>
          <w:bCs/>
          <w:color w:val="444444"/>
          <w:sz w:val="22"/>
          <w:szCs w:val="22"/>
        </w:rPr>
        <w:t xml:space="preserve">7. </w:t>
      </w:r>
      <w:r>
        <w:rPr>
          <w:rFonts w:ascii="Arial" w:cs="Arial" w:eastAsia="Arial" w:hAnsi="Arial"/>
          <w:color w:val="222222"/>
          <w:sz w:val="22"/>
          <w:szCs w:val="22"/>
        </w:rPr>
        <w:t xml:space="preserve">The system of claim 2, wherein the Q_L monitor generates a resistance classification output distinguishing BRCA1/2 restoration, 53BP1 loss, replication fork stabilization, and TLS upregulation as distinct Q_L failure modes.</w:t>
      </w:r>
    </w:p>
    <w:p>
      <w:pPr>
        <w:spacing w:after="60" w:before="80"/>
        <w:ind w:left="360"/>
      </w:pPr>
      <w:r>
        <w:rPr>
          <w:rFonts w:ascii="Arial" w:cs="Arial" w:eastAsia="Arial" w:hAnsi="Arial"/>
          <w:b/>
          <w:bCs/>
          <w:color w:val="444444"/>
          <w:sz w:val="22"/>
          <w:szCs w:val="22"/>
        </w:rPr>
        <w:t xml:space="preserve">8. </w:t>
      </w:r>
      <w:r>
        <w:rPr>
          <w:rFonts w:ascii="Arial" w:cs="Arial" w:eastAsia="Arial" w:hAnsi="Arial"/>
          <w:color w:val="222222"/>
          <w:sz w:val="22"/>
          <w:szCs w:val="22"/>
        </w:rPr>
        <w:t xml:space="preserve">The system of claim 2, integrated into a DocGrokHealth clinical governance platform for real-time monitoring of PARPi treatment response using Q_L conservation as a biomarker.</w:t>
      </w:r>
    </w:p>
    <w:p>
      <w:pPr>
        <w:spacing w:after="60" w:before="80"/>
        <w:ind w:left="360"/>
      </w:pPr>
      <w:r>
        <w:rPr>
          <w:rFonts w:ascii="Arial" w:cs="Arial" w:eastAsia="Arial" w:hAnsi="Arial"/>
          <w:b/>
          <w:bCs/>
          <w:color w:val="444444"/>
          <w:sz w:val="22"/>
          <w:szCs w:val="22"/>
        </w:rPr>
        <w:t xml:space="preserve">9. </w:t>
      </w:r>
      <w:r>
        <w:rPr>
          <w:rFonts w:ascii="Arial" w:cs="Arial" w:eastAsia="Arial" w:hAnsi="Arial"/>
          <w:color w:val="222222"/>
          <w:sz w:val="22"/>
          <w:szCs w:val="22"/>
        </w:rPr>
        <w:t xml:space="preserve">The method of claim 1, wherein the EOLRP governing equation is: EOLRP(fork) := Π_H ∘ L_rescue ∘ Echo[verify(nascent | template)] ∘ ρ(fork).</w:t>
      </w:r>
    </w:p>
    <w:p>
      <w:pPr>
        <w:spacing w:after="60" w:before="80"/>
        <w:ind w:left="360"/>
      </w:pPr>
      <w:r>
        <w:rPr>
          <w:rFonts w:ascii="Arial" w:cs="Arial" w:eastAsia="Arial" w:hAnsi="Arial"/>
          <w:b/>
          <w:bCs/>
          <w:color w:val="444444"/>
          <w:sz w:val="22"/>
          <w:szCs w:val="22"/>
        </w:rPr>
        <w:t xml:space="preserve">10. </w:t>
      </w:r>
      <w:r>
        <w:rPr>
          <w:rFonts w:ascii="Arial" w:cs="Arial" w:eastAsia="Arial" w:hAnsi="Arial"/>
          <w:color w:val="222222"/>
          <w:sz w:val="22"/>
          <w:szCs w:val="22"/>
        </w:rPr>
        <w:t xml:space="preserve">The medium of claim 3, further storing a global coherence mapping establishing that Document 1 (Constitutional Governance of DNA Repair) and this Document 2 (EOLRP) together constitute a complete constitutional theory of DNA repair under the shared invariant S ∩ I(S).</w:t>
      </w:r>
    </w:p>
    <w:p>
      <w:pPr>
        <w:spacing w:after="80" w:before="80"/>
      </w:pPr>
    </w:p>
    <w:p>
      <w:r>
        <w:br w:type="page"/>
      </w:r>
    </w:p>
    <w:p>
      <w:pPr>
        <w:pStyle w:val="Heading1"/>
        <w:spacing w:after="120" w:before="320"/>
      </w:pPr>
      <w:r>
        <w:rPr>
          <w:rFonts w:ascii="Arial" w:cs="Arial" w:eastAsia="Arial" w:hAnsi="Arial"/>
          <w:b/>
          <w:bCs/>
          <w:color w:val="1A3A6B"/>
          <w:sz w:val="28"/>
          <w:szCs w:val="28"/>
        </w:rPr>
        <w:t xml:space="preserve">Abstract</w:t>
      </w:r>
    </w:p>
    <w:p>
      <w:pPr>
        <w:spacing w:after="80" w:before="80"/>
      </w:pPr>
      <w:r>
        <w:rPr>
          <w:rFonts w:ascii="Arial" w:cs="Arial" w:eastAsia="Arial" w:hAnsi="Arial"/>
          <w:color w:val="222222"/>
          <w:sz w:val="22"/>
          <w:szCs w:val="22"/>
        </w:rPr>
        <w:t xml:space="preserve">The Echo Operator Lindblad Replication Protocol (EOLRP) provides a formal constitutional governance mapping of DNA replication fork restart mechanisms onto the DCGP operator stack. The five primary restart pathways are mapped as: Template Switching → Echo Operator; Break-Induced Replication → Lindblad Rescue Operators; Homologous Recombination → Threefold Cord Projection Π_H; Repriming → Spectral Observer; Translesion Synthesis → Authority Escalation Violation Detector. PARP1 is established as the biological inspection operator I(S) in the Lopez Coupling Theorem. PARPi resistance mechanisms are classified as Q_L coupling failures with distinguishable temporal signatures. The governing equation is EOLRP(fork) := Π_H ∘ L_rescue ∘ Echo[verify] ∘ ρ(fork). This invention is Document 2 of the DocGrokHealth Formal Mapping Series and is globally coherent with Document 1 through the shared invariant S ∩ I(S) at every fork event.</w:t>
      </w:r>
    </w:p>
    <w:p>
      <w:pPr>
        <w:spacing w:after="80" w:before="80"/>
      </w:pPr>
    </w:p>
    <w:p>
      <w:r>
        <w:br w:type="page"/>
      </w:r>
    </w:p>
    <w:p>
      <w:pPr>
        <w:pStyle w:val="Heading1"/>
        <w:spacing w:after="120" w:before="320"/>
      </w:pPr>
      <w:r>
        <w:rPr>
          <w:rFonts w:ascii="Arial" w:cs="Arial" w:eastAsia="Arial" w:hAnsi="Arial"/>
          <w:b/>
          <w:bCs/>
          <w:color w:val="1A3A6B"/>
          <w:sz w:val="28"/>
          <w:szCs w:val="28"/>
        </w:rPr>
        <w:t xml:space="preserve">Inventor Declaration</w:t>
      </w:r>
    </w:p>
    <w:p>
      <w:pPr>
        <w:spacing w:after="80" w:before="80"/>
      </w:pPr>
      <w:r>
        <w:rPr>
          <w:rFonts w:ascii="Arial" w:cs="Arial" w:eastAsia="Arial" w:hAnsi="Arial"/>
          <w:color w:val="222222"/>
          <w:sz w:val="22"/>
          <w:szCs w:val="22"/>
        </w:rPr>
        <w:t xml:space="preserve">I, Joshua Lopez, declare as follows:</w:t>
      </w:r>
    </w:p>
    <w:p>
      <w:pPr>
        <w:spacing w:after="80" w:before="80"/>
      </w:pPr>
    </w:p>
    <w:p>
      <w:pPr>
        <w:pStyle w:val="ListParagraph"/>
        <w:numPr>
          <w:ilvl w:val="0"/>
          <w:numId w:val="3"/>
        </w:numPr>
        <w:spacing w:after="60" w:before="60"/>
      </w:pPr>
      <w:r>
        <w:rPr>
          <w:rFonts w:ascii="Arial" w:cs="Arial" w:eastAsia="Arial" w:hAnsi="Arial"/>
          <w:color w:val="222222"/>
          <w:sz w:val="22"/>
          <w:szCs w:val="22"/>
        </w:rPr>
        <w:t xml:space="preserve">I am the original inventor of the subject matter described and claimed in this provisional patent application.</w:t>
      </w:r>
    </w:p>
    <w:p>
      <w:pPr>
        <w:pStyle w:val="ListParagraph"/>
        <w:numPr>
          <w:ilvl w:val="0"/>
          <w:numId w:val="3"/>
        </w:numPr>
        <w:spacing w:after="60" w:before="60"/>
      </w:pPr>
      <w:r>
        <w:rPr>
          <w:rFonts w:ascii="Arial" w:cs="Arial" w:eastAsia="Arial" w:hAnsi="Arial"/>
          <w:color w:val="222222"/>
          <w:sz w:val="22"/>
          <w:szCs w:val="22"/>
        </w:rPr>
        <w:t xml:space="preserve">I have reviewed and understand the contents of this application.</w:t>
      </w:r>
    </w:p>
    <w:p>
      <w:pPr>
        <w:pStyle w:val="ListParagraph"/>
        <w:numPr>
          <w:ilvl w:val="0"/>
          <w:numId w:val="3"/>
        </w:numPr>
        <w:spacing w:after="60" w:before="60"/>
      </w:pPr>
      <w:r>
        <w:rPr>
          <w:rFonts w:ascii="Arial" w:cs="Arial" w:eastAsia="Arial" w:hAnsi="Arial"/>
          <w:color w:val="222222"/>
          <w:sz w:val="22"/>
          <w:szCs w:val="22"/>
        </w:rPr>
        <w:t xml:space="preserve">I acknowledge my duty to disclose information that is material to the patentability of the claims.</w:t>
      </w:r>
    </w:p>
    <w:p>
      <w:pPr>
        <w:pStyle w:val="ListParagraph"/>
        <w:numPr>
          <w:ilvl w:val="0"/>
          <w:numId w:val="3"/>
        </w:numPr>
        <w:spacing w:after="60" w:before="60"/>
      </w:pPr>
      <w:r>
        <w:rPr>
          <w:rFonts w:ascii="Arial" w:cs="Arial" w:eastAsia="Arial" w:hAnsi="Arial"/>
          <w:color w:val="222222"/>
          <w:sz w:val="22"/>
          <w:szCs w:val="22"/>
        </w:rPr>
        <w:t xml:space="preserve">I believe the subject matter described herein is novel and not known or used by others prior to my invention.</w:t>
      </w:r>
    </w:p>
    <w:p>
      <w:pPr>
        <w:pStyle w:val="ListParagraph"/>
        <w:numPr>
          <w:ilvl w:val="0"/>
          <w:numId w:val="3"/>
        </w:numPr>
        <w:spacing w:after="60" w:before="60"/>
      </w:pPr>
      <w:r>
        <w:rPr>
          <w:rFonts w:ascii="Arial" w:cs="Arial" w:eastAsia="Arial" w:hAnsi="Arial"/>
          <w:color w:val="222222"/>
          <w:sz w:val="22"/>
          <w:szCs w:val="22"/>
        </w:rPr>
        <w:t xml:space="preserve">I hereby establish June 7, 2026 as the date of this formal invention disclosure and provisional filing.</w:t>
      </w:r>
    </w:p>
    <w:p>
      <w:pPr>
        <w:spacing w:after="80" w:before="80"/>
      </w:pPr>
    </w:p>
    <w:p>
      <w:pPr>
        <w:spacing w:after="80" w:before="240"/>
      </w:pPr>
      <w:r>
        <w:rPr>
          <w:rFonts w:ascii="Arial" w:cs="Arial" w:eastAsia="Arial" w:hAnsi="Arial"/>
          <w:sz w:val="22"/>
          <w:szCs w:val="22"/>
        </w:rPr>
        <w:t xml:space="preserve">Signature: _________________________________</w:t>
      </w:r>
    </w:p>
    <w:p>
      <w:pPr>
        <w:spacing w:after="80" w:before="80"/>
      </w:pPr>
      <w:r>
        <w:rPr>
          <w:rFonts w:ascii="Arial" w:cs="Arial" w:eastAsia="Arial" w:hAnsi="Arial"/>
          <w:color w:val="222222"/>
          <w:sz w:val="22"/>
          <w:szCs w:val="22"/>
        </w:rPr>
        <w:t xml:space="preserve">Name: Joshua Lopez</w:t>
      </w:r>
    </w:p>
    <w:p>
      <w:pPr>
        <w:spacing w:after="80" w:before="80"/>
      </w:pPr>
      <w:r>
        <w:rPr>
          <w:rFonts w:ascii="Arial" w:cs="Arial" w:eastAsia="Arial" w:hAnsi="Arial"/>
          <w:color w:val="222222"/>
          <w:sz w:val="22"/>
          <w:szCs w:val="22"/>
        </w:rPr>
        <w:t xml:space="preserve">Date: June 7, 2026</w:t>
      </w:r>
    </w:p>
    <w:p>
      <w:pPr>
        <w:spacing w:after="80" w:before="80"/>
      </w:pPr>
      <w:r>
        <w:rPr>
          <w:rFonts w:ascii="Arial" w:cs="Arial" w:eastAsia="Arial" w:hAnsi="Arial"/>
          <w:color w:val="222222"/>
          <w:sz w:val="22"/>
          <w:szCs w:val="22"/>
        </w:rPr>
        <w:t xml:space="preserve">Entity: DCGP.AI — Distributed Constitutional Governance Protocol</w:t>
      </w:r>
    </w:p>
    <w:p>
      <w:pPr>
        <w:spacing w:after="80" w:before="80"/>
      </w:pPr>
      <w:r>
        <w:rPr>
          <w:rFonts w:ascii="Arial" w:cs="Arial" w:eastAsia="Arial" w:hAnsi="Arial"/>
          <w:color w:val="222222"/>
          <w:sz w:val="22"/>
          <w:szCs w:val="22"/>
        </w:rPr>
        <w:t xml:space="preserve">USPTO Customer No.: 222625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2026-06-11T06:58:59.327Z</dcterms:created>
  <dcterms:modified xsi:type="dcterms:W3CDTF">2026-06-11T06:58:59.346Z</dcterms:modified>
</cp:coreProperties>
</file>

<file path=docProps/custom.xml><?xml version="1.0" encoding="utf-8"?>
<Properties xmlns="http://schemas.openxmlformats.org/officeDocument/2006/custom-properties" xmlns:vt="http://schemas.openxmlformats.org/officeDocument/2006/docPropsVTypes"/>
</file>