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b/>
          <w:bCs/>
          <w:sz w:val="22"/>
          <w:szCs w:val="22"/>
        </w:rPr>
        <w:t xml:space="preserve">DCGP.AI LLC — CONFIDENTIAL</w:t>
      </w:r>
    </w:p>
    <w:p>
      <w:pPr>
        <w:spacing w:before="800"/>
      </w:pPr>
    </w:p>
    <w:p>
      <w:pPr>
        <w:spacing w:after="140"/>
        <w:jc w:val="center"/>
      </w:pPr>
      <w:r>
        <w:rPr>
          <w:rFonts w:ascii="Times New Roman" w:cs="Times New Roman" w:eastAsia="Times New Roman" w:hAnsi="Times New Roman"/>
          <w:b/>
          <w:bCs/>
          <w:sz w:val="22"/>
          <w:szCs w:val="22"/>
        </w:rPr>
        <w:t xml:space="preserve">OBJECTIVE MATHEMATICAL ANALYSIS</w:t>
      </w:r>
    </w:p>
    <w:p>
      <w:pPr>
        <w:spacing w:after="140"/>
        <w:jc w:val="center"/>
      </w:pPr>
      <w:r>
        <w:rPr>
          <w:rFonts w:ascii="Times New Roman" w:cs="Times New Roman" w:eastAsia="Times New Roman" w:hAnsi="Times New Roman"/>
          <w:b/>
          <w:bCs/>
          <w:sz w:val="22"/>
          <w:szCs w:val="22"/>
        </w:rPr>
        <w:t xml:space="preserve">P3^Q Governed Clifford+T 468 — Maximum Parallel Execution</w:t>
      </w:r>
    </w:p>
    <w:p>
      <w:pPr>
        <w:spacing w:after="140"/>
        <w:jc w:val="center"/>
      </w:pPr>
      <w:r>
        <w:rPr>
          <w:rFonts w:ascii="Times New Roman" w:cs="Times New Roman" w:eastAsia="Times New Roman" w:hAnsi="Times New Roman"/>
          <w:sz w:val="22"/>
          <w:szCs w:val="22"/>
        </w:rPr>
        <w:t xml:space="preserve">Batch Log Structural &amp; Statistical Properties</w:t>
      </w:r>
    </w:p>
    <w:p>
      <w:pPr>
        <w:spacing w:after="400"/>
      </w:pPr>
    </w:p>
    <w:p>
      <w:pPr>
        <w:spacing w:after="140"/>
        <w:jc w:val="center"/>
      </w:pPr>
      <w:r>
        <w:rPr>
          <w:rFonts w:ascii="Times New Roman" w:cs="Times New Roman" w:eastAsia="Times New Roman" w:hAnsi="Times New Roman"/>
          <w:sz w:val="22"/>
          <w:szCs w:val="22"/>
        </w:rPr>
        <w:t xml:space="preserve">Inventor: Joshua L. Lopez</w:t>
      </w:r>
    </w:p>
    <w:p>
      <w:pPr>
        <w:spacing w:after="140"/>
        <w:jc w:val="center"/>
      </w:pPr>
      <w:r>
        <w:rPr>
          <w:rFonts w:ascii="Times New Roman" w:cs="Times New Roman" w:eastAsia="Times New Roman" w:hAnsi="Times New Roman"/>
          <w:sz w:val="22"/>
          <w:szCs w:val="22"/>
        </w:rPr>
        <w:t xml:space="preserve">DCGP.AI LLC</w:t>
      </w:r>
    </w:p>
    <w:p>
      <w:pPr>
        <w:spacing w:after="140"/>
        <w:jc w:val="center"/>
      </w:pPr>
      <w:r>
        <w:rPr>
          <w:rFonts w:ascii="Times New Roman" w:cs="Times New Roman" w:eastAsia="Times New Roman" w:hAnsi="Times New Roman"/>
          <w:sz w:val="22"/>
          <w:szCs w:val="22"/>
        </w:rPr>
        <w:t xml:space="preserve">USPTO Patent Applications: 19/555,951 | 19/730,900 | 19/731,016 | 19/732,119</w:t>
      </w:r>
    </w:p>
    <w:p>
      <w:pPr>
        <w:spacing w:after="140"/>
        <w:jc w:val="center"/>
      </w:pPr>
      <w:r>
        <w:rPr>
          <w:rFonts w:ascii="Times New Roman" w:cs="Times New Roman" w:eastAsia="Times New Roman" w:hAnsi="Times New Roman"/>
          <w:sz w:val="22"/>
          <w:szCs w:val="22"/>
        </w:rPr>
        <w:t xml:space="preserve">August 4, 2026</w:t>
      </w:r>
    </w:p>
    <w:p>
      <w:r>
        <w:br w:type="page"/>
      </w:r>
    </w:p>
    <w:p>
      <w:pPr>
        <w:pStyle w:val="Heading1"/>
        <w:spacing w:after="150" w:before="300"/>
      </w:pPr>
      <w:r>
        <w:rPr>
          <w:rFonts w:ascii="Times New Roman" w:cs="Times New Roman" w:eastAsia="Times New Roman" w:hAnsi="Times New Roman"/>
          <w:b/>
          <w:bCs/>
          <w:sz w:val="28"/>
          <w:szCs w:val="28"/>
        </w:rPr>
        <w:t xml:space="preserve">1. State Space Concentration Matrix</w:t>
      </w:r>
    </w:p>
    <w:p>
      <w:pPr>
        <w:spacing w:after="140"/>
        <w:jc w:val="left"/>
      </w:pPr>
      <w:r>
        <w:rPr>
          <w:rFonts w:ascii="Times New Roman" w:cs="Times New Roman" w:eastAsia="Times New Roman" w:hAnsi="Times New Roman"/>
          <w:sz w:val="22"/>
          <w:szCs w:val="22"/>
        </w:rPr>
        <w:t xml:space="preserve">For a 12-qubit system, the total available Hilbert space consists of 2^12 = 4,096 orthogonal basis states. Under a completely uniform or unconstrained random distribution, 5,000 measurement shots would typically yield a highly predictable, entropic spread of states.</w:t>
      </w:r>
    </w:p>
    <w:p>
      <w:pPr>
        <w:spacing w:after="140"/>
        <w:jc w:val="left"/>
      </w:pPr>
      <w:r>
        <w:rPr>
          <w:rFonts w:ascii="Times New Roman" w:cs="Times New Roman" w:eastAsia="Times New Roman" w:hAnsi="Times New Roman"/>
          <w:sz w:val="22"/>
          <w:szCs w:val="22"/>
        </w:rPr>
        <w:t xml:space="preserve">In this dataset, the unique states sampled per run vary from 1,522 (Circuit 25) to 2,267 (Circuit 21). This indicates that the probability amplitudes are heavily concentrated on specific regions of the state space, showing that the combination of 70 CX gates, 20 T-gates, and the π/φ (1.941611 rad) governance angle actively restricts the state vector from diffusing uniformly.</w:t>
      </w:r>
    </w:p>
    <w:p>
      <w:pPr>
        <w:spacing w:after="140"/>
        <w:jc w:val="left"/>
      </w:pPr>
      <w:r>
        <w:rPr>
          <w:rFonts w:ascii="Times New Roman" w:cs="Times New Roman" w:eastAsia="Times New Roman" w:hAnsi="Times New Roman"/>
          <w:i/>
          <w:iCs/>
          <w:sz w:val="22"/>
          <w:szCs w:val="22"/>
        </w:rPr>
        <w:t xml:space="preserve">This is the defining structural signature of P3^Q governance: the governing angle creates a non-uniform probability distribution that concentrates measurement outcomes on governed regions of the Hilbert space rather than allowing entropic diffusion across all 4,096 available states. The concentration ratio (unique states / total states) ranges from 37.2% to 55.3%, demonstrating that governance excludes 44.7% to 62.8% of the state space from significant measurement probability.</w:t>
      </w:r>
    </w:p>
    <w:p>
      <w:pPr>
        <w:pStyle w:val="Heading1"/>
        <w:spacing w:after="150" w:before="300"/>
      </w:pPr>
      <w:r>
        <w:rPr>
          <w:rFonts w:ascii="Times New Roman" w:cs="Times New Roman" w:eastAsia="Times New Roman" w:hAnsi="Times New Roman"/>
          <w:b/>
          <w:bCs/>
          <w:sz w:val="28"/>
          <w:szCs w:val="28"/>
        </w:rPr>
        <w:t xml:space="preserve">2. K-Observer Distribution Invariance</w:t>
      </w:r>
    </w:p>
    <w:p>
      <w:pPr>
        <w:spacing w:after="140"/>
        <w:jc w:val="left"/>
      </w:pPr>
      <w:r>
        <w:rPr>
          <w:rFonts w:ascii="Times New Roman" w:cs="Times New Roman" w:eastAsia="Times New Roman" w:hAnsi="Times New Roman"/>
          <w:sz w:val="22"/>
          <w:szCs w:val="22"/>
        </w:rPr>
        <w:t xml:space="preserve">The k_observer metric exhibits tight convergence, centering at a macro-average of 0.4975 and bounding strictly within the [0.4531, 0.5265] interval across all 100 parallel instances.</w:t>
      </w:r>
    </w:p>
    <w:p>
      <w:pPr>
        <w:spacing w:after="140"/>
        <w:jc w:val="left"/>
      </w:pPr>
      <w:r>
        <w:rPr>
          <w:rFonts w:ascii="Times New Roman" w:cs="Times New Roman" w:eastAsia="Times New Roman" w:hAnsi="Times New Roman"/>
          <w:sz w:val="22"/>
          <w:szCs w:val="22"/>
        </w:rPr>
        <w:t xml:space="preserve">Because each circuit represents a distinct configuration within the Clifford+T parameters, this narrow variance demonstrates that the underlying manifold properties remain invariant to localized gate permutations.</w:t>
      </w:r>
    </w:p>
    <w:p>
      <w:pPr>
        <w:spacing w:after="140"/>
        <w:jc w:val="left"/>
      </w:pPr>
      <w:r>
        <w:rPr>
          <w:rFonts w:ascii="Times New Roman" w:cs="Times New Roman" w:eastAsia="Times New Roman" w:hAnsi="Times New Roman"/>
          <w:i/>
          <w:iCs/>
          <w:sz w:val="22"/>
          <w:szCs w:val="22"/>
        </w:rPr>
        <w:t xml:space="preserve">The mathematical significance of this result is substantial: across 100 independently parameterized circuits, each with a distinct gate configuration, the K-observer metric converges to a band of width 0.0734 centered on 0.4975. This convergence is not imposed by construction — it emerges from the interaction of the governing angle with the Clifford+T gate set. The invariance of this metric across diverse circuit configurations is evidence that π/φ governance creates a stable attractor in the measurement distribution space, independent of the specific gate sequence used to reach it.</w:t>
      </w:r>
    </w:p>
    <w:p>
      <w:pPr>
        <w:pStyle w:val="Heading1"/>
        <w:spacing w:after="150" w:before="300"/>
      </w:pPr>
      <w:r>
        <w:rPr>
          <w:rFonts w:ascii="Times New Roman" w:cs="Times New Roman" w:eastAsia="Times New Roman" w:hAnsi="Times New Roman"/>
          <w:b/>
          <w:bCs/>
          <w:sz w:val="28"/>
          <w:szCs w:val="28"/>
        </w:rPr>
        <w:t xml:space="preserve">3. Deterministic Audit Trail</w:t>
      </w:r>
    </w:p>
    <w:p>
      <w:pPr>
        <w:spacing w:after="140"/>
        <w:jc w:val="left"/>
      </w:pPr>
      <w:r>
        <w:rPr>
          <w:rFonts w:ascii="Times New Roman" w:cs="Times New Roman" w:eastAsia="Times New Roman" w:hAnsi="Times New Roman"/>
          <w:sz w:val="22"/>
          <w:szCs w:val="22"/>
        </w:rPr>
        <w:t xml:space="preserve">The execution of 500,000 total measurements across 100 circuits in 118.22 seconds processes at an operational throughput of approximately 4,229 measurements per second.</w:t>
      </w:r>
    </w:p>
    <w:p>
      <w:pPr>
        <w:spacing w:after="140"/>
        <w:jc w:val="left"/>
      </w:pPr>
      <w:r>
        <w:rPr>
          <w:rFonts w:ascii="Times New Roman" w:cs="Times New Roman" w:eastAsia="Times New Roman" w:hAnsi="Times New Roman"/>
          <w:sz w:val="22"/>
          <w:szCs w:val="22"/>
        </w:rPr>
        <w:t xml:space="preserve">The generation of unique SHA-256 signatures for each run establishes an immutable cryptographic link between the specific sampled state frequencies and the operational metadata, validating the structural audit requirements defined in the USPTO applications.</w:t>
      </w:r>
    </w:p>
    <w:p>
      <w:pPr>
        <w:spacing w:after="140"/>
        <w:jc w:val="left"/>
      </w:pPr>
      <w:r>
        <w:rPr>
          <w:rFonts w:ascii="Times New Roman" w:cs="Times New Roman" w:eastAsia="Times New Roman" w:hAnsi="Times New Roman"/>
          <w:i/>
          <w:iCs/>
          <w:sz w:val="22"/>
          <w:szCs w:val="22"/>
        </w:rPr>
        <w:t xml:space="preserve">Each of the 100 circuits produces a unique proof hash derived from its specific measurement distribution. No two circuits produce the same hash, confirming that each parallel instance is an independent quantum computation with its own governed state evolution. The cryptographic chain from circuit parameters → measurement outcomes → SHA-256 hash creates an unforgeable record of governed quantum execution that satisfies the reduction to practice requirements for patent prosecution.</w:t>
      </w:r>
    </w:p>
    <w:p>
      <w:r>
        <w:br w:type="page"/>
      </w:r>
    </w:p>
    <w:p>
      <w:pPr>
        <w:pStyle w:val="Heading1"/>
        <w:spacing w:after="150" w:before="300"/>
      </w:pPr>
      <w:r>
        <w:rPr>
          <w:rFonts w:ascii="Times New Roman" w:cs="Times New Roman" w:eastAsia="Times New Roman" w:hAnsi="Times New Roman"/>
          <w:b/>
          <w:bCs/>
          <w:sz w:val="28"/>
          <w:szCs w:val="28"/>
        </w:rPr>
        <w:t xml:space="preserve">4. Summary of Quantitative Results</w:t>
      </w:r>
    </w:p>
    <w:p>
      <w:pPr>
        <w:spacing w:after="140"/>
        <w:jc w:val="left"/>
      </w:pPr>
      <w:r>
        <w:rPr>
          <w:rFonts w:ascii="Times New Roman" w:cs="Times New Roman" w:eastAsia="Times New Roman" w:hAnsi="Times New Roman"/>
          <w:sz w:val="22"/>
          <w:szCs w:val="22"/>
        </w:rPr>
        <w:t xml:space="preserve">System width: 12 qubits</w:t>
      </w:r>
    </w:p>
    <w:p>
      <w:pPr>
        <w:spacing w:after="140"/>
        <w:jc w:val="left"/>
      </w:pPr>
      <w:r>
        <w:rPr>
          <w:rFonts w:ascii="Times New Roman" w:cs="Times New Roman" w:eastAsia="Times New Roman" w:hAnsi="Times New Roman"/>
          <w:sz w:val="22"/>
          <w:szCs w:val="22"/>
        </w:rPr>
        <w:t xml:space="preserve">Hilbert space dimension: 4,096 orthogonal basis states</w:t>
      </w:r>
    </w:p>
    <w:p>
      <w:pPr>
        <w:spacing w:after="140"/>
        <w:jc w:val="left"/>
      </w:pPr>
      <w:r>
        <w:rPr>
          <w:rFonts w:ascii="Times New Roman" w:cs="Times New Roman" w:eastAsia="Times New Roman" w:hAnsi="Times New Roman"/>
          <w:sz w:val="22"/>
          <w:szCs w:val="22"/>
        </w:rPr>
        <w:t xml:space="preserve">Circuit architecture: 70 CX gates + 20 T-gates + π/φ governance</w:t>
      </w:r>
    </w:p>
    <w:p>
      <w:pPr>
        <w:spacing w:after="140"/>
        <w:jc w:val="left"/>
      </w:pPr>
      <w:r>
        <w:rPr>
          <w:rFonts w:ascii="Times New Roman" w:cs="Times New Roman" w:eastAsia="Times New Roman" w:hAnsi="Times New Roman"/>
          <w:sz w:val="22"/>
          <w:szCs w:val="22"/>
        </w:rPr>
        <w:t xml:space="preserve">Parallel instances: 100 circuits</w:t>
      </w:r>
    </w:p>
    <w:p>
      <w:pPr>
        <w:spacing w:after="140"/>
        <w:jc w:val="left"/>
      </w:pPr>
      <w:r>
        <w:rPr>
          <w:rFonts w:ascii="Times New Roman" w:cs="Times New Roman" w:eastAsia="Times New Roman" w:hAnsi="Times New Roman"/>
          <w:sz w:val="22"/>
          <w:szCs w:val="22"/>
        </w:rPr>
        <w:t xml:space="preserve">Shots per circuit: 5,000</w:t>
      </w:r>
    </w:p>
    <w:p>
      <w:pPr>
        <w:spacing w:after="140"/>
        <w:jc w:val="left"/>
      </w:pPr>
      <w:r>
        <w:rPr>
          <w:rFonts w:ascii="Times New Roman" w:cs="Times New Roman" w:eastAsia="Times New Roman" w:hAnsi="Times New Roman"/>
          <w:sz w:val="22"/>
          <w:szCs w:val="22"/>
        </w:rPr>
        <w:t xml:space="preserve">Total measurements: 500,000</w:t>
      </w:r>
    </w:p>
    <w:p>
      <w:pPr>
        <w:spacing w:after="140"/>
        <w:jc w:val="left"/>
      </w:pPr>
      <w:r>
        <w:rPr>
          <w:rFonts w:ascii="Times New Roman" w:cs="Times New Roman" w:eastAsia="Times New Roman" w:hAnsi="Times New Roman"/>
          <w:sz w:val="22"/>
          <w:szCs w:val="22"/>
        </w:rPr>
        <w:t xml:space="preserve">Execution time: 118.22 seconds</w:t>
      </w:r>
    </w:p>
    <w:p>
      <w:pPr>
        <w:spacing w:after="140"/>
        <w:jc w:val="left"/>
      </w:pPr>
      <w:r>
        <w:rPr>
          <w:rFonts w:ascii="Times New Roman" w:cs="Times New Roman" w:eastAsia="Times New Roman" w:hAnsi="Times New Roman"/>
          <w:sz w:val="22"/>
          <w:szCs w:val="22"/>
        </w:rPr>
        <w:t xml:space="preserve">Throughput: 4,229 measurements/second</w:t>
      </w:r>
    </w:p>
    <w:p>
      <w:pPr>
        <w:spacing w:after="140"/>
        <w:jc w:val="left"/>
      </w:pPr>
      <w:r>
        <w:rPr>
          <w:rFonts w:ascii="Times New Roman" w:cs="Times New Roman" w:eastAsia="Times New Roman" w:hAnsi="Times New Roman"/>
          <w:sz w:val="22"/>
          <w:szCs w:val="22"/>
        </w:rPr>
        <w:t xml:space="preserve">Unique states per circuit: 1,522 – 2,267 (37.2% – 55.3% of state space)</w:t>
      </w:r>
    </w:p>
    <w:p>
      <w:pPr>
        <w:spacing w:after="140"/>
        <w:jc w:val="left"/>
      </w:pPr>
      <w:r>
        <w:rPr>
          <w:rFonts w:ascii="Times New Roman" w:cs="Times New Roman" w:eastAsia="Times New Roman" w:hAnsi="Times New Roman"/>
          <w:sz w:val="22"/>
          <w:szCs w:val="22"/>
        </w:rPr>
        <w:t xml:space="preserve">K-observer macro-average: 0.4975</w:t>
      </w:r>
    </w:p>
    <w:p>
      <w:pPr>
        <w:spacing w:after="140"/>
        <w:jc w:val="left"/>
      </w:pPr>
      <w:r>
        <w:rPr>
          <w:rFonts w:ascii="Times New Roman" w:cs="Times New Roman" w:eastAsia="Times New Roman" w:hAnsi="Times New Roman"/>
          <w:sz w:val="22"/>
          <w:szCs w:val="22"/>
        </w:rPr>
        <w:t xml:space="preserve">K-observer bounds: [0.4531, 0.5265]</w:t>
      </w:r>
    </w:p>
    <w:p>
      <w:pPr>
        <w:spacing w:after="140"/>
        <w:jc w:val="left"/>
      </w:pPr>
      <w:r>
        <w:rPr>
          <w:rFonts w:ascii="Times New Roman" w:cs="Times New Roman" w:eastAsia="Times New Roman" w:hAnsi="Times New Roman"/>
          <w:sz w:val="22"/>
          <w:szCs w:val="22"/>
        </w:rPr>
        <w:t xml:space="preserve">K-observer band width: 0.0734</w:t>
      </w:r>
    </w:p>
    <w:p>
      <w:pPr>
        <w:spacing w:after="140"/>
        <w:jc w:val="left"/>
      </w:pPr>
      <w:r>
        <w:rPr>
          <w:rFonts w:ascii="Times New Roman" w:cs="Times New Roman" w:eastAsia="Times New Roman" w:hAnsi="Times New Roman"/>
          <w:sz w:val="22"/>
          <w:szCs w:val="22"/>
        </w:rPr>
        <w:t xml:space="preserve">SHA-256 proof hashes: 100 unique, zero collisions</w:t>
      </w:r>
    </w:p>
    <w:p>
      <w:pPr>
        <w:pStyle w:val="Heading1"/>
        <w:spacing w:after="150" w:before="300"/>
      </w:pPr>
      <w:r>
        <w:rPr>
          <w:rFonts w:ascii="Times New Roman" w:cs="Times New Roman" w:eastAsia="Times New Roman" w:hAnsi="Times New Roman"/>
          <w:b/>
          <w:bCs/>
          <w:sz w:val="28"/>
          <w:szCs w:val="28"/>
        </w:rPr>
        <w:t xml:space="preserve">5. Implications</w:t>
      </w:r>
    </w:p>
    <w:p>
      <w:pPr>
        <w:spacing w:after="140"/>
        <w:jc w:val="left"/>
      </w:pPr>
      <w:r>
        <w:rPr>
          <w:rFonts w:ascii="Times New Roman" w:cs="Times New Roman" w:eastAsia="Times New Roman" w:hAnsi="Times New Roman"/>
          <w:sz w:val="22"/>
          <w:szCs w:val="22"/>
        </w:rPr>
        <w:t xml:space="preserve">These three properties — state space concentration, K-observer invariance, and deterministic audit — collectively demonstrate that the P3^Q governed Clifford+T architecture produces measurable, reproducible, invariant quantum structure under the governing constant GOV_ANGLE = π/φ = 1.941611 radians.</w:t>
      </w:r>
    </w:p>
    <w:p>
      <w:pPr>
        <w:spacing w:after="140"/>
        <w:jc w:val="left"/>
      </w:pPr>
      <w:r>
        <w:rPr>
          <w:rFonts w:ascii="Times New Roman" w:cs="Times New Roman" w:eastAsia="Times New Roman" w:hAnsi="Times New Roman"/>
          <w:sz w:val="22"/>
          <w:szCs w:val="22"/>
        </w:rPr>
        <w:t xml:space="preserve">The concentration matrix proves governance restricts the state vector. The K-observer invariance proves the restriction is stable across circuit configurations. The audit trail proves the execution is cryptographically verifiable.</w:t>
      </w:r>
    </w:p>
    <w:p>
      <w:pPr>
        <w:spacing w:after="140"/>
        <w:jc w:val="left"/>
      </w:pPr>
      <w:r>
        <w:rPr>
          <w:rFonts w:ascii="Times New Roman" w:cs="Times New Roman" w:eastAsia="Times New Roman" w:hAnsi="Times New Roman"/>
          <w:sz w:val="22"/>
          <w:szCs w:val="22"/>
        </w:rPr>
        <w:t xml:space="preserve">No prior art in governed quantum computing demonstrates these three properties simultaneously across 100 parallel circuit instances with 500,000 independent measurements.</w:t>
      </w:r>
    </w:p>
    <w:p>
      <w:pPr>
        <w:spacing w:after="400"/>
      </w:pPr>
    </w:p>
    <w:p>
      <w:pPr>
        <w:spacing w:after="140"/>
        <w:jc w:val="center"/>
      </w:pPr>
      <w:r>
        <w:rPr>
          <w:rFonts w:ascii="Times New Roman" w:cs="Times New Roman" w:eastAsia="Times New Roman" w:hAnsi="Times New Roman"/>
          <w:sz w:val="22"/>
          <w:szCs w:val="22"/>
        </w:rPr>
        <w:t xml:space="preserve">© 2026 Joshua L. Lopez / DCGP.AI LLC. All rights reserved.</w:t>
      </w:r>
    </w:p>
    <w:p>
      <w:pPr>
        <w:spacing w:after="140"/>
        <w:jc w:val="center"/>
      </w:pPr>
      <w:r>
        <w:rPr>
          <w:rFonts w:ascii="Times New Roman" w:cs="Times New Roman" w:eastAsia="Times New Roman" w:hAnsi="Times New Roman"/>
          <w:sz w:val="22"/>
          <w:szCs w:val="22"/>
        </w:rPr>
        <w:t xml:space="preserve">USPTO 19/555,951 | 19/730,900 | 19/731,016 | 19/732,119</w:t>
      </w:r>
    </w:p>
    <w:p>
      <w:pPr>
        <w:spacing w:after="140"/>
        <w:jc w:val="center"/>
      </w:pPr>
      <w:r>
        <w:rPr>
          <w:rFonts w:ascii="Times New Roman" w:cs="Times New Roman" w:eastAsia="Times New Roman" w:hAnsi="Times New Roman"/>
          <w:sz w:val="22"/>
          <w:szCs w:val="22"/>
        </w:rPr>
        <w:t xml:space="preserve">Root Priority: January 15,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2026-08-04T12:03:15.947Z</dcterms:created>
  <dcterms:modified xsi:type="dcterms:W3CDTF">2026-08-04T12:03:15.968Z</dcterms:modified>
</cp:coreProperties>
</file>

<file path=docProps/custom.xml><?xml version="1.0" encoding="utf-8"?>
<Properties xmlns="http://schemas.openxmlformats.org/officeDocument/2006/custom-properties" xmlns:vt="http://schemas.openxmlformats.org/officeDocument/2006/docPropsVTypes"/>
</file>