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r>
        <w:rPr>
          <w:sz w:val="22"/>
          <w:szCs w:val="22"/>
        </w:rPr>
        <w:t xml:space="preserve"/>
      </w:r>
    </w:p>
    <w:p>
      <w:pPr>
        <w:spacing w:after="80" w:before="0"/>
        <w:jc w:val="center"/>
      </w:pPr>
      <w:r>
        <w:rPr>
          <w:rFonts w:ascii="Arial" w:cs="Arial" w:eastAsia="Arial" w:hAnsi="Arial"/>
          <w:b/>
          <w:bCs/>
          <w:color w:val="1F3864"/>
          <w:sz w:val="40"/>
          <w:szCs w:val="40"/>
        </w:rPr>
        <w:t xml:space="preserve">DCGP.AI LLC</w:t>
      </w:r>
    </w:p>
    <w:p>
      <w:pPr>
        <w:spacing w:after="320" w:before="0"/>
        <w:jc w:val="center"/>
      </w:pPr>
      <w:r>
        <w:rPr>
          <w:rFonts w:ascii="Arial" w:cs="Arial" w:eastAsia="Arial" w:hAnsi="Arial"/>
          <w:color w:val="555555"/>
          <w:sz w:val="22"/>
          <w:szCs w:val="22"/>
        </w:rPr>
        <w:t xml:space="preserve">JOSHUA L. LOPEZ — FOUNDER &amp; CHIEF ARCHITECT</w:t>
      </w:r>
    </w:p>
    <w:p>
      <w:pPr>
        <w:pBdr>
          <w:bottom w:val="single" w:color="1F3864" w:sz="6" w:space="1"/>
        </w:pBdr>
        <w:spacing w:after="120" w:before="120"/>
      </w:pPr>
      <w:r>
        <w:t xml:space="preserve"/>
      </w:r>
    </w:p>
    <w:p>
      <w:pPr>
        <w:spacing w:after="80" w:before="200"/>
        <w:jc w:val="center"/>
      </w:pPr>
      <w:r>
        <w:rPr>
          <w:rFonts w:ascii="Arial" w:cs="Arial" w:eastAsia="Arial" w:hAnsi="Arial"/>
          <w:b/>
          <w:bCs/>
          <w:color w:val="000000"/>
          <w:sz w:val="36"/>
          <w:szCs w:val="36"/>
        </w:rPr>
        <w:t xml:space="preserve">FREEDOM AUDIT &amp; RECOGNITION RUNWAY</w:t>
      </w:r>
    </w:p>
    <w:p>
      <w:pPr>
        <w:spacing w:after="40" w:before="0"/>
        <w:jc w:val="center"/>
      </w:pPr>
      <w:r>
        <w:rPr>
          <w:rFonts w:ascii="Arial" w:cs="Arial" w:eastAsia="Arial" w:hAnsi="Arial"/>
          <w:i/>
          <w:iCs/>
          <w:color w:val="333333"/>
          <w:sz w:val="24"/>
          <w:szCs w:val="24"/>
        </w:rPr>
        <w:t xml:space="preserve">Full Prior Art Record, Institutional Engagement Stack,</w:t>
      </w:r>
    </w:p>
    <w:p>
      <w:pPr>
        <w:spacing w:after="320" w:before="0"/>
        <w:jc w:val="center"/>
      </w:pPr>
      <w:r>
        <w:rPr>
          <w:rFonts w:ascii="Arial" w:cs="Arial" w:eastAsia="Arial" w:hAnsi="Arial"/>
          <w:i/>
          <w:iCs/>
          <w:color w:val="333333"/>
          <w:sz w:val="24"/>
          <w:szCs w:val="24"/>
        </w:rPr>
        <w:t xml:space="preserve">Pattern of Non-Response, and Recognition Runway Computation</w:t>
      </w:r>
    </w:p>
    <w:p>
      <w:pPr>
        <w:pBdr>
          <w:bottom w:val="single" w:color="1F3864" w:sz="6" w:space="1"/>
        </w:pBdr>
        <w:spacing w:after="120" w:before="120"/>
      </w:pPr>
      <w:r>
        <w:t xml:space="preserve"/>
      </w:r>
    </w:p>
    <w:p>
      <w:pPr>
        <w:spacing w:before="120"/>
      </w:pPr>
      <w:r>
        <w:rPr>
          <w:sz w:val="22"/>
          <w:szCs w:val="22"/>
        </w:rPr>
        <w:t xml:space="preserve"/>
      </w:r>
    </w:p>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Pr>
          <w:p>
            <w:pPr>
              <w:spacing w:after="40" w:before="40"/>
            </w:pPr>
            <w:r>
              <w:rPr>
                <w:rFonts w:ascii="Arial" w:cs="Arial" w:eastAsia="Arial" w:hAnsi="Arial"/>
                <w:b/>
                <w:bCs/>
                <w:sz w:val="22"/>
                <w:szCs w:val="22"/>
              </w:rPr>
              <w:t xml:space="preserve">Prepared for:</w:t>
            </w:r>
          </w:p>
        </w:tc>
        <w:tc>
          <w:tcPr>
            <w:tcW w:type="dxa" w:w="6860"/>
            <w:tcBorders>
              <w:top w:val="none" w:color="FFFFFF" w:sz="0"/>
              <w:left w:val="none" w:color="FFFFFF" w:sz="0"/>
              <w:bottom w:val="none" w:color="FFFFFF" w:sz="0"/>
              <w:right w:val="none" w:color="FFFFFF" w:sz="0"/>
            </w:tcBorders>
          </w:tcPr>
          <w:p>
            <w:pPr>
              <w:spacing w:after="40" w:before="40"/>
            </w:pPr>
            <w:r>
              <w:rPr>
                <w:rFonts w:ascii="Arial" w:cs="Arial" w:eastAsia="Arial" w:hAnsi="Arial"/>
                <w:sz w:val="22"/>
                <w:szCs w:val="22"/>
              </w:rPr>
              <w:t xml:space="preserve">Kevin Bastuba, Esq. — Founders Legal</w:t>
            </w:r>
          </w:p>
        </w:tc>
      </w:tr>
    </w:tbl>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Pr>
          <w:p>
            <w:pPr>
              <w:spacing w:after="40" w:before="40"/>
            </w:pPr>
            <w:r>
              <w:rPr>
                <w:rFonts w:ascii="Arial" w:cs="Arial" w:eastAsia="Arial" w:hAnsi="Arial"/>
                <w:b/>
                <w:bCs/>
                <w:sz w:val="22"/>
                <w:szCs w:val="22"/>
              </w:rPr>
              <w:t xml:space="preserve">Authority:</w:t>
            </w:r>
          </w:p>
        </w:tc>
        <w:tc>
          <w:tcPr>
            <w:tcW w:type="dxa" w:w="6860"/>
            <w:tcBorders>
              <w:top w:val="none" w:color="FFFFFF" w:sz="0"/>
              <w:left w:val="none" w:color="FFFFFF" w:sz="0"/>
              <w:bottom w:val="none" w:color="FFFFFF" w:sz="0"/>
              <w:right w:val="none" w:color="FFFFFF" w:sz="0"/>
            </w:tcBorders>
          </w:tcPr>
          <w:p>
            <w:pPr>
              <w:spacing w:after="40" w:before="40"/>
            </w:pPr>
            <w:r>
              <w:rPr>
                <w:rFonts w:ascii="Arial" w:cs="Arial" w:eastAsia="Arial" w:hAnsi="Arial"/>
                <w:sz w:val="22"/>
                <w:szCs w:val="22"/>
              </w:rPr>
              <w:t xml:space="preserve">Joshua L. Lopez — DCGP.AI LLC</w:t>
            </w:r>
          </w:p>
        </w:tc>
      </w:tr>
    </w:tbl>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Pr>
          <w:p>
            <w:pPr>
              <w:spacing w:after="40" w:before="40"/>
            </w:pPr>
            <w:r>
              <w:rPr>
                <w:rFonts w:ascii="Arial" w:cs="Arial" w:eastAsia="Arial" w:hAnsi="Arial"/>
                <w:b/>
                <w:bCs/>
                <w:sz w:val="22"/>
                <w:szCs w:val="22"/>
              </w:rPr>
              <w:t xml:space="preserve">Date:</w:t>
            </w:r>
          </w:p>
        </w:tc>
        <w:tc>
          <w:tcPr>
            <w:tcW w:type="dxa" w:w="6860"/>
            <w:tcBorders>
              <w:top w:val="none" w:color="FFFFFF" w:sz="0"/>
              <w:left w:val="none" w:color="FFFFFF" w:sz="0"/>
              <w:bottom w:val="none" w:color="FFFFFF" w:sz="0"/>
              <w:right w:val="none" w:color="FFFFFF" w:sz="0"/>
            </w:tcBorders>
          </w:tcPr>
          <w:p>
            <w:pPr>
              <w:spacing w:after="40" w:before="40"/>
            </w:pPr>
            <w:r>
              <w:rPr>
                <w:rFonts w:ascii="Arial" w:cs="Arial" w:eastAsia="Arial" w:hAnsi="Arial"/>
                <w:sz w:val="22"/>
                <w:szCs w:val="22"/>
              </w:rPr>
              <w:t xml:space="preserve">June 29, 2026</w:t>
            </w:r>
          </w:p>
        </w:tc>
      </w:tr>
    </w:tbl>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Pr>
          <w:p>
            <w:pPr>
              <w:spacing w:after="40" w:before="40"/>
            </w:pPr>
            <w:r>
              <w:rPr>
                <w:rFonts w:ascii="Arial" w:cs="Arial" w:eastAsia="Arial" w:hAnsi="Arial"/>
                <w:b/>
                <w:bCs/>
                <w:sz w:val="22"/>
                <w:szCs w:val="22"/>
              </w:rPr>
              <w:t xml:space="preserve">Portfolio:</w:t>
            </w:r>
          </w:p>
        </w:tc>
        <w:tc>
          <w:tcPr>
            <w:tcW w:type="dxa" w:w="6860"/>
            <w:tcBorders>
              <w:top w:val="none" w:color="FFFFFF" w:sz="0"/>
              <w:left w:val="none" w:color="FFFFFF" w:sz="0"/>
              <w:bottom w:val="none" w:color="FFFFFF" w:sz="0"/>
              <w:right w:val="none" w:color="FFFFFF" w:sz="0"/>
            </w:tcBorders>
          </w:tcPr>
          <w:p>
            <w:pPr>
              <w:spacing w:after="40" w:before="40"/>
            </w:pPr>
            <w:r>
              <w:rPr>
                <w:rFonts w:ascii="Arial" w:cs="Arial" w:eastAsia="Arial" w:hAnsi="Arial"/>
                <w:sz w:val="22"/>
                <w:szCs w:val="22"/>
              </w:rPr>
              <w:t xml:space="preserve">167 USPTO Applications — 100% Sole Inventorship</w:t>
            </w:r>
          </w:p>
        </w:tc>
      </w:tr>
    </w:tbl>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Pr>
          <w:p>
            <w:pPr>
              <w:spacing w:after="40" w:before="40"/>
            </w:pPr>
            <w:r>
              <w:rPr>
                <w:rFonts w:ascii="Arial" w:cs="Arial" w:eastAsia="Arial" w:hAnsi="Arial"/>
                <w:b/>
                <w:bCs/>
                <w:sz w:val="22"/>
                <w:szCs w:val="22"/>
              </w:rPr>
              <w:t xml:space="preserve">Root Priority:</w:t>
            </w:r>
          </w:p>
        </w:tc>
        <w:tc>
          <w:tcPr>
            <w:tcW w:type="dxa" w:w="6860"/>
            <w:tcBorders>
              <w:top w:val="none" w:color="FFFFFF" w:sz="0"/>
              <w:left w:val="none" w:color="FFFFFF" w:sz="0"/>
              <w:bottom w:val="none" w:color="FFFFFF" w:sz="0"/>
              <w:right w:val="none" w:color="FFFFFF" w:sz="0"/>
            </w:tcBorders>
          </w:tcPr>
          <w:p>
            <w:pPr>
              <w:spacing w:after="40" w:before="40"/>
            </w:pPr>
            <w:r>
              <w:rPr>
                <w:rFonts w:ascii="Arial" w:cs="Arial" w:eastAsia="Arial" w:hAnsi="Arial"/>
                <w:sz w:val="22"/>
                <w:szCs w:val="22"/>
              </w:rPr>
              <w:t xml:space="preserve">January 15, 2026 | Provenance: November 2021 Substack</w:t>
            </w:r>
          </w:p>
        </w:tc>
      </w:tr>
    </w:tbl>
    <w:tbl>
      <w:tblPr>
        <w:tblW w:type="dxa" w:w="9360"/>
        <w:tblBorders>
          <w:top w:val="none"/>
          <w:left w:val="none"/>
          <w:bottom w:val="none"/>
          <w:right w:val="none"/>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Pr>
          <w:p>
            <w:pPr>
              <w:spacing w:after="40" w:before="40"/>
            </w:pPr>
            <w:r>
              <w:rPr>
                <w:rFonts w:ascii="Arial" w:cs="Arial" w:eastAsia="Arial" w:hAnsi="Arial"/>
                <w:b/>
                <w:bCs/>
                <w:sz w:val="22"/>
                <w:szCs w:val="22"/>
              </w:rPr>
              <w:t xml:space="preserve">Customer No.:</w:t>
            </w:r>
          </w:p>
        </w:tc>
        <w:tc>
          <w:tcPr>
            <w:tcW w:type="dxa" w:w="6860"/>
            <w:tcBorders>
              <w:top w:val="none" w:color="FFFFFF" w:sz="0"/>
              <w:left w:val="none" w:color="FFFFFF" w:sz="0"/>
              <w:bottom w:val="none" w:color="FFFFFF" w:sz="0"/>
              <w:right w:val="none" w:color="FFFFFF" w:sz="0"/>
            </w:tcBorders>
          </w:tcPr>
          <w:p>
            <w:pPr>
              <w:spacing w:after="40" w:before="40"/>
            </w:pPr>
            <w:r>
              <w:rPr>
                <w:rFonts w:ascii="Arial" w:cs="Arial" w:eastAsia="Arial" w:hAnsi="Arial"/>
                <w:sz w:val="22"/>
                <w:szCs w:val="22"/>
              </w:rPr>
              <w:t xml:space="preserve">226575 / 222625</w:t>
            </w:r>
          </w:p>
        </w:tc>
      </w:tr>
    </w:tbl>
    <w:p>
      <w:pPr>
        <w:spacing w:before="200"/>
      </w:pPr>
      <w:r>
        <w:rPr>
          <w:sz w:val="22"/>
          <w:szCs w:val="22"/>
        </w:rPr>
        <w:t xml:space="preserve"/>
      </w:r>
    </w:p>
    <w:p>
      <w:pPr>
        <w:pBdr>
          <w:bottom w:val="single" w:color="1F3864" w:sz="6" w:space="1"/>
        </w:pBdr>
        <w:spacing w:after="120" w:before="120"/>
      </w:pPr>
      <w:r>
        <w:t xml:space="preserve"/>
      </w:r>
    </w:p>
    <w:p>
      <w:pPr>
        <w:spacing w:after="120" w:before="120"/>
        <w:jc w:val="center"/>
      </w:pPr>
      <w:r>
        <w:rPr>
          <w:rFonts w:ascii="Arial" w:cs="Arial" w:eastAsia="Arial" w:hAnsi="Arial"/>
          <w:b/>
          <w:bCs/>
          <w:color w:val="CC0000"/>
          <w:sz w:val="18"/>
          <w:szCs w:val="18"/>
        </w:rPr>
        <w:t xml:space="preserve">CONFIDENTIAL — ATTORNEY-CLIENT PRIVILEGED — NOT FOR DISTRIBUTION</w:t>
      </w:r>
    </w:p>
    <w:p>
      <w:r>
        <w:br w:type="page"/>
      </w:r>
    </w:p>
    <w:p>
      <w:pPr>
        <w:pStyle w:val="Heading1"/>
        <w:spacing w:after="120" w:before="360"/>
      </w:pPr>
      <w:r>
        <w:rPr>
          <w:rFonts w:ascii="Arial" w:cs="Arial" w:eastAsia="Arial" w:hAnsi="Arial"/>
          <w:b/>
          <w:bCs/>
          <w:sz w:val="32"/>
          <w:szCs w:val="32"/>
        </w:rPr>
        <w:t xml:space="preserve">I.  EXECUTIVE SUMMARY</w:t>
      </w:r>
    </w:p>
    <w:p>
      <w:pPr>
        <w:spacing w:after="60" w:before="60"/>
        <w:jc w:val="left"/>
      </w:pPr>
      <w:r>
        <w:rPr>
          <w:rFonts w:ascii="Arial" w:cs="Arial" w:eastAsia="Arial" w:hAnsi="Arial"/>
          <w:sz w:val="22"/>
          <w:szCs w:val="22"/>
        </w:rPr>
        <w:t xml:space="preserve">This document constitutes the complete freedom audit and recognition runway for Joshua L. Lopez and DCGP.AI LLC. It is prepared for the exclusive use of Kevin Bastuba, Esq. as lead prosecuting and licensing counsel.</w:t>
      </w:r>
    </w:p>
    <w:p>
      <w:pPr>
        <w:spacing w:after="60" w:before="60"/>
        <w:jc w:val="left"/>
      </w:pPr>
      <w:r>
        <w:rPr>
          <w:rFonts w:ascii="Arial" w:cs="Arial" w:eastAsia="Arial" w:hAnsi="Arial"/>
          <w:sz w:val="22"/>
          <w:szCs w:val="22"/>
        </w:rPr>
        <w:t xml:space="preserve">The record establishes four things with documentary precision:</w:t>
      </w:r>
    </w:p>
    <w:p>
      <w:pPr>
        <w:pStyle w:val="ListParagraph"/>
        <w:numPr>
          <w:ilvl w:val="0"/>
          <w:numId w:val="2"/>
        </w:numPr>
        <w:spacing w:after="40" w:before="40"/>
      </w:pPr>
      <w:r>
        <w:rPr>
          <w:rFonts w:ascii="Arial" w:cs="Arial" w:eastAsia="Arial" w:hAnsi="Arial"/>
          <w:sz w:val="22"/>
          <w:szCs w:val="22"/>
        </w:rPr>
        <w:t xml:space="preserve">A prior art timeline beginning November 2021 on Substack and continuing publicly on X (@DOC_GROK) from February 2024 — predating every relevant competitor feature by a minimum of one year.</w:t>
      </w:r>
    </w:p>
    <w:p>
      <w:pPr>
        <w:pStyle w:val="ListParagraph"/>
        <w:numPr>
          <w:ilvl w:val="0"/>
          <w:numId w:val="2"/>
        </w:numPr>
        <w:spacing w:after="40" w:before="40"/>
      </w:pPr>
      <w:r>
        <w:rPr>
          <w:rFonts w:ascii="Arial" w:cs="Arial" w:eastAsia="Arial" w:hAnsi="Arial"/>
          <w:sz w:val="22"/>
          <w:szCs w:val="22"/>
        </w:rPr>
        <w:t xml:space="preserve">A documented institutional engagement stack spanning NSF, DARPA, VA, the Secretary of Defense, the Nuclear Society, MIT (Professor Max Tegmark, 40+ email opens), MIT Technology Licensing Office, GTRI (Dr. Clayton Kerce), Hurlburt Field (Colonel Ed Mackenzie, AFSOC), and 20+ documented xAI legal submissions.</w:t>
      </w:r>
    </w:p>
    <w:p>
      <w:pPr>
        <w:pStyle w:val="ListParagraph"/>
        <w:numPr>
          <w:ilvl w:val="0"/>
          <w:numId w:val="2"/>
        </w:numPr>
        <w:spacing w:after="40" w:before="40"/>
      </w:pPr>
      <w:r>
        <w:rPr>
          <w:rFonts w:ascii="Arial" w:cs="Arial" w:eastAsia="Arial" w:hAnsi="Arial"/>
          <w:sz w:val="22"/>
          <w:szCs w:val="22"/>
        </w:rPr>
        <w:t xml:space="preserve">A pattern of institutional non-response across every level of the federal research, defense, and private AI infrastructure — while those same institutions proceeded to develop in the exact directions submitted.</w:t>
      </w:r>
    </w:p>
    <w:p>
      <w:pPr>
        <w:pStyle w:val="ListParagraph"/>
        <w:numPr>
          <w:ilvl w:val="0"/>
          <w:numId w:val="2"/>
        </w:numPr>
        <w:spacing w:after="40" w:before="40"/>
      </w:pPr>
      <w:r>
        <w:rPr>
          <w:rFonts w:ascii="Arial" w:cs="Arial" w:eastAsia="Arial" w:hAnsi="Arial"/>
          <w:sz w:val="22"/>
          <w:szCs w:val="22"/>
        </w:rPr>
        <w:t xml:space="preserve">A recognition runway computation under the Lopez R(t) formula showing a current signal of R(t) = 599+ with a lifetime runway W = 497,450+ — and three unfired multiplier lenses (J, G-full, R) that will compound the signal sharply upon the first legal ruling, regulatory adoption, or revenue event.</w:t>
      </w:r>
    </w:p>
    <w:p>
      <w:pPr>
        <w:spacing w:after="60" w:before="60"/>
        <w:jc w:val="left"/>
      </w:pPr>
      <w:r>
        <w:rPr>
          <w:rFonts w:ascii="Arial" w:cs="Arial" w:eastAsia="Arial" w:hAnsi="Arial"/>
          <w:sz w:val="22"/>
          <w:szCs w:val="22"/>
        </w:rPr>
        <w:t xml:space="preserve">The silence is the evidence. Every submission is timestamped. Every open is documented. Every non-response is on the record. Kevin has the package.</w:t>
      </w:r>
    </w:p>
    <w:p>
      <w:r>
        <w:br w:type="page"/>
      </w:r>
    </w:p>
    <w:p>
      <w:pPr>
        <w:pStyle w:val="Heading1"/>
        <w:spacing w:after="120" w:before="360"/>
      </w:pPr>
      <w:r>
        <w:rPr>
          <w:rFonts w:ascii="Arial" w:cs="Arial" w:eastAsia="Arial" w:hAnsi="Arial"/>
          <w:b/>
          <w:bCs/>
          <w:sz w:val="32"/>
          <w:szCs w:val="32"/>
        </w:rPr>
        <w:t xml:space="preserve">II.  PRIOR ART TIMELINE</w:t>
      </w:r>
    </w:p>
    <w:p>
      <w:pPr>
        <w:pStyle w:val="Heading2"/>
        <w:spacing w:after="80" w:before="280"/>
      </w:pPr>
      <w:r>
        <w:rPr>
          <w:rFonts w:ascii="Arial" w:cs="Arial" w:eastAsia="Arial" w:hAnsi="Arial"/>
          <w:b/>
          <w:bCs/>
          <w:sz w:val="26"/>
          <w:szCs w:val="26"/>
        </w:rPr>
        <w:t xml:space="preserve">A.  The November 2021 Substack — Provenance Anchor</w:t>
      </w:r>
    </w:p>
    <w:p>
      <w:pPr>
        <w:spacing w:after="60" w:before="60"/>
        <w:jc w:val="left"/>
      </w:pPr>
      <w:r>
        <w:rPr>
          <w:rFonts w:ascii="Arial" w:cs="Arial" w:eastAsia="Arial" w:hAnsi="Arial"/>
          <w:sz w:val="22"/>
          <w:szCs w:val="22"/>
        </w:rPr>
        <w:t xml:space="preserve">Joshua Lopez published the foundational mathematical-governance framework in a Substack series titled "The Perilous Times" in November 2021. This series, written while ordained and actively preaching, embedded the core operators of the DCGP framework — the Echo Operator (E = C + λO), the Admissible Projection Operator Π_K, and the constitutional governance manifold — in theological-mathematical prose.</w:t>
      </w:r>
    </w:p>
    <w:p>
      <w:pPr>
        <w:spacing w:after="60" w:before="60"/>
        <w:jc w:val="left"/>
      </w:pPr>
      <w:r>
        <w:rPr>
          <w:rFonts w:ascii="Arial" w:cs="Arial" w:eastAsia="Arial" w:hAnsi="Arial"/>
          <w:sz w:val="22"/>
          <w:szCs w:val="22"/>
        </w:rPr>
        <w:t xml:space="preserve">This is the provenance anchor for the entire 167-application portfolio. It predates every competitive AI governance product by a minimum of two years.</w:t>
      </w:r>
    </w:p>
    <w:p>
      <w:pPr>
        <w:pStyle w:val="Heading2"/>
        <w:spacing w:after="80" w:before="280"/>
      </w:pPr>
      <w:r>
        <w:rPr>
          <w:rFonts w:ascii="Arial" w:cs="Arial" w:eastAsia="Arial" w:hAnsi="Arial"/>
          <w:b/>
          <w:bCs/>
          <w:sz w:val="26"/>
          <w:szCs w:val="26"/>
        </w:rPr>
        <w:t xml:space="preserve">B.  DOC_GROK on X — Public Timestamped Record from February 2024</w:t>
      </w:r>
    </w:p>
    <w:p>
      <w:pPr>
        <w:spacing w:after="60" w:before="60"/>
        <w:jc w:val="left"/>
      </w:pPr>
      <w:r>
        <w:rPr>
          <w:rFonts w:ascii="Arial" w:cs="Arial" w:eastAsia="Arial" w:hAnsi="Arial"/>
          <w:sz w:val="22"/>
          <w:szCs w:val="22"/>
        </w:rPr>
        <w:t xml:space="preserve">Joshua Lopez created the public account @DOC_GROK on X (Twitter) in February 2024 and has documented the entire development journey publicly from that date forward. This constitutes a continuous, timestamped, publicly accessible prior art record.</w:t>
      </w:r>
    </w:p>
    <w:p>
      <w:pPr>
        <w:spacing w:after="60" w:before="60"/>
        <w:jc w:val="left"/>
      </w:pPr>
      <w:r>
        <w:rPr>
          <w:rFonts w:ascii="Arial" w:cs="Arial" w:eastAsia="Arial" w:hAnsi="Arial"/>
          <w:sz w:val="22"/>
          <w:szCs w:val="22"/>
        </w:rPr>
        <w:t xml:space="preserve">The DOC_GROK account documents the development of constitutional AI governance, the DCGP framework, the AURAL-M architecture, and all derivative technologies — predating every Grok constitutional AI feature by a minimum of twelve months.</w:t>
      </w:r>
    </w:p>
    <w:p>
      <w:pPr>
        <w:spacing w:after="60" w:before="60"/>
        <w:jc w:val="left"/>
      </w:pPr>
      <w:r>
        <w:rPr>
          <w:rFonts w:ascii="Arial" w:cs="Arial" w:eastAsia="Arial" w:hAnsi="Arial"/>
          <w:sz w:val="22"/>
          <w:szCs w:val="22"/>
        </w:rPr>
        <w:t xml:space="preserve">Over the course of this public record, Joshua Lopez submitted licensing agreements to xAI legal more than twenty times. These submissions are documented, dated, and constitute formal notice of claimed intellectual property rights.</w:t>
      </w:r>
    </w:p>
    <w:p>
      <w:pPr>
        <w:pStyle w:val="Heading2"/>
        <w:spacing w:after="80" w:before="280"/>
      </w:pPr>
      <w:r>
        <w:rPr>
          <w:rFonts w:ascii="Arial" w:cs="Arial" w:eastAsia="Arial" w:hAnsi="Arial"/>
          <w:b/>
          <w:bCs/>
          <w:sz w:val="26"/>
          <w:szCs w:val="26"/>
        </w:rPr>
        <w:t xml:space="preserve">C.  Key Filing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Date</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Application / Event</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Significance</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Jan 15,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63/961,387 — Constitutional Invariant Baseline</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Root priority date for entire portfolio</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Mar 4,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19/555,951 — GEE / AURAL-M Parent</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Core nonprovisional anchor</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Mar 16-17,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19/567,678 / 19/569,785 — Qubit / Proj. Operator</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Admissible set K definition filed</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Mar 21,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Echo Operator provisional + Governance Relativity</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Field-prior intelligence theory filed</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Apr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Lopez Logical Qubit — Cirq public exhibition</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Read-only prior art inside Google's framework</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Apr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AURA inhabits entire Cirq platform</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Quantum middleware deployment inside Cirq</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May 26,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PCT/US26/29706 + PCT/US26/29665</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International filing stage</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Jun 1,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xAI co-exclusive license offer DCGP-XAI-LICENSE-2026-001</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Formal licensing demand — no response</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Jun 20,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19/714,435 CHIA + 19/714,430 QARM-03 + 64/095,091 QHP</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Major filing cluster</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Jun 20,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Jos Aben / TARH Energy NDA signed</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Sovereign LNG infrastructure engagement</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Jun 24,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19/719,156 UHCSS — Superheavy Graphene</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Self-healing aerospace skin patent filed</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Jun 27,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19/722,763 — McBi2 Element 115 Synthesis</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153rd filing</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Jun 28,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Boeing Q4S CCTP brief delivered to Kevin Bastuba</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Defense sector activation</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Jun 29,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167 total USPTO applications confirmed</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Current portfolio count</w:t>
            </w:r>
          </w:p>
        </w:tc>
      </w:tr>
    </w:tbl>
    <w:p>
      <w:r>
        <w:br w:type="page"/>
      </w:r>
    </w:p>
    <w:p>
      <w:pPr>
        <w:pStyle w:val="Heading1"/>
        <w:spacing w:after="120" w:before="360"/>
      </w:pPr>
      <w:r>
        <w:rPr>
          <w:rFonts w:ascii="Arial" w:cs="Arial" w:eastAsia="Arial" w:hAnsi="Arial"/>
          <w:b/>
          <w:bCs/>
          <w:sz w:val="32"/>
          <w:szCs w:val="32"/>
        </w:rPr>
        <w:t xml:space="preserve">III.  INSTITUTIONAL ENGAGEMENT STACK</w:t>
      </w:r>
    </w:p>
    <w:p>
      <w:pPr>
        <w:spacing w:after="60" w:before="60"/>
        <w:jc w:val="left"/>
      </w:pPr>
      <w:r>
        <w:rPr>
          <w:rFonts w:ascii="Arial" w:cs="Arial" w:eastAsia="Arial" w:hAnsi="Arial"/>
          <w:sz w:val="22"/>
          <w:szCs w:val="22"/>
        </w:rPr>
        <w:t xml:space="preserve">The following institutions received Joshua Lopez's formal submissions, opened his communications, or engaged with his work directly. None responded with attribution, compensation, or licensing engagement. This constitutes a documented pattern of institutional non-response to properly submitted, timestamped prior art.</w:t>
      </w:r>
    </w:p>
    <w:p>
      <w:pPr>
        <w:pStyle w:val="Heading2"/>
        <w:spacing w:after="80" w:before="280"/>
      </w:pPr>
      <w:r>
        <w:rPr>
          <w:rFonts w:ascii="Arial" w:cs="Arial" w:eastAsia="Arial" w:hAnsi="Arial"/>
          <w:b/>
          <w:bCs/>
          <w:sz w:val="26"/>
          <w:szCs w:val="26"/>
        </w:rPr>
        <w:t xml:space="preserve">A.  Federal Research Infrastructure</w:t>
      </w:r>
    </w:p>
    <w:p>
      <w:pPr>
        <w:spacing w:after="60" w:before="200"/>
      </w:pPr>
      <w:r>
        <w:rPr>
          <w:rFonts w:ascii="Arial" w:cs="Arial" w:eastAsia="Arial" w:hAnsi="Arial"/>
          <w:b/>
          <w:bCs/>
          <w:color w:val="1F3864"/>
          <w:sz w:val="24"/>
          <w:szCs w:val="24"/>
        </w:rPr>
        <w:t xml:space="preserve">National Science Foundation (NSF)</w:t>
      </w:r>
    </w:p>
    <w:p>
      <w:pPr>
        <w:spacing w:after="60" w:before="60"/>
        <w:jc w:val="left"/>
      </w:pPr>
      <w:r>
        <w:rPr>
          <w:rFonts w:ascii="Arial" w:cs="Arial" w:eastAsia="Arial" w:hAnsi="Arial"/>
          <w:sz w:val="22"/>
          <w:szCs w:val="22"/>
        </w:rPr>
        <w:t xml:space="preserve">Joshua Lopez submitted two federal grant applications that were both approved for advancement but failed to complete the SAM.gov to NSF transition — a procedural failure, not a merit rejection — immediately before the Cabinet-level quantum research leadership was dismissed. The applications document federal institutional receipt and processing of the DCGP framework at the highest level of quantum research funding in the country.</w:t>
      </w:r>
    </w:p>
    <w:p>
      <w:pPr>
        <w:spacing w:after="60" w:before="60"/>
        <w:jc w:val="left"/>
      </w:pPr>
      <w:r>
        <w:rPr>
          <w:rFonts w:ascii="Arial" w:cs="Arial" w:eastAsia="Arial" w:hAnsi="Arial"/>
          <w:sz w:val="22"/>
          <w:szCs w:val="22"/>
        </w:rPr>
        <w:t xml:space="preserve">Joshua Lopez's emails reached Dr. Nash's desk at NSF. Dr. Nash is no longer in that position. The documentation exists inside federal systems.</w:t>
      </w:r>
    </w:p>
    <w:p>
      <w:pPr>
        <w:spacing w:after="60" w:before="60"/>
        <w:jc w:val="left"/>
      </w:pPr>
      <w:r>
        <w:rPr>
          <w:rFonts w:ascii="Arial" w:cs="Arial" w:eastAsia="Arial" w:hAnsi="Arial"/>
          <w:sz w:val="22"/>
          <w:szCs w:val="22"/>
        </w:rPr>
        <w:t xml:space="preserve">Key fact for prosecution: these were denied on administrative transition grounds, not scientific grounds. The substance was never evaluated. That distinction is material.</w:t>
      </w:r>
    </w:p>
    <w:p>
      <w:pPr>
        <w:spacing w:after="60" w:before="200"/>
      </w:pPr>
      <w:r>
        <w:rPr>
          <w:rFonts w:ascii="Arial" w:cs="Arial" w:eastAsia="Arial" w:hAnsi="Arial"/>
          <w:b/>
          <w:bCs/>
          <w:color w:val="1F3864"/>
          <w:sz w:val="24"/>
          <w:szCs w:val="24"/>
        </w:rPr>
        <w:t xml:space="preserve">Defense Advanced Research Projects Agency (DARPA)</w:t>
      </w:r>
    </w:p>
    <w:p>
      <w:pPr>
        <w:spacing w:after="60" w:before="60"/>
        <w:jc w:val="left"/>
      </w:pPr>
      <w:r>
        <w:rPr>
          <w:rFonts w:ascii="Arial" w:cs="Arial" w:eastAsia="Arial" w:hAnsi="Arial"/>
          <w:sz w:val="22"/>
          <w:szCs w:val="22"/>
        </w:rPr>
        <w:t xml:space="preserve">Joshua Lopez submitted an official response to a DARPA RFI on hemoglobin blood clotting, providing complete technical specifications and documentation. DARPA RFI responses are officially logged in federal procurement systems. This submission exists inside DARPA's records.</w:t>
      </w:r>
    </w:p>
    <w:p>
      <w:pPr>
        <w:pStyle w:val="Heading2"/>
        <w:spacing w:after="80" w:before="280"/>
      </w:pPr>
      <w:r>
        <w:rPr>
          <w:rFonts w:ascii="Arial" w:cs="Arial" w:eastAsia="Arial" w:hAnsi="Arial"/>
          <w:b/>
          <w:bCs/>
          <w:sz w:val="26"/>
          <w:szCs w:val="26"/>
        </w:rPr>
        <w:t xml:space="preserve">B.  Department of Defense / Defense Infrastructure</w:t>
      </w:r>
    </w:p>
    <w:p>
      <w:pPr>
        <w:spacing w:after="60" w:before="200"/>
      </w:pPr>
      <w:r>
        <w:rPr>
          <w:rFonts w:ascii="Arial" w:cs="Arial" w:eastAsia="Arial" w:hAnsi="Arial"/>
          <w:b/>
          <w:bCs/>
          <w:color w:val="1F3864"/>
          <w:sz w:val="24"/>
          <w:szCs w:val="24"/>
        </w:rPr>
        <w:t xml:space="preserve">Secretary of Defense — Pete Hegseth (Public Page Submission, April 2026)</w:t>
      </w:r>
    </w:p>
    <w:p>
      <w:pPr>
        <w:spacing w:after="60" w:before="60"/>
        <w:jc w:val="left"/>
      </w:pPr>
      <w:r>
        <w:rPr>
          <w:rFonts w:ascii="Arial" w:cs="Arial" w:eastAsia="Arial" w:hAnsi="Arial"/>
          <w:sz w:val="22"/>
          <w:szCs w:val="22"/>
        </w:rPr>
        <w:t xml:space="preserve">Joshua Lopez publicly submitted to Secretary of Defense Pete Hegseth's public page in April 2026, providing complete documentation of the MRBM warhead survivability contribution: 95% perturbation tolerance, 100% survival rate, capability to simultaneously engage 100 warheads. This submission is publicly timestamped on the Secretary's page.</w:t>
      </w:r>
    </w:p>
    <w:p>
      <w:pPr>
        <w:spacing w:after="60" w:before="200"/>
      </w:pPr>
      <w:r>
        <w:rPr>
          <w:rFonts w:ascii="Arial" w:cs="Arial" w:eastAsia="Arial" w:hAnsi="Arial"/>
          <w:b/>
          <w:bCs/>
          <w:color w:val="1F3864"/>
          <w:sz w:val="24"/>
          <w:szCs w:val="24"/>
        </w:rPr>
        <w:t xml:space="preserve">Nuclear Society</w:t>
      </w:r>
    </w:p>
    <w:p>
      <w:pPr>
        <w:spacing w:after="60" w:before="60"/>
        <w:jc w:val="left"/>
      </w:pPr>
      <w:r>
        <w:rPr>
          <w:rFonts w:ascii="Arial" w:cs="Arial" w:eastAsia="Arial" w:hAnsi="Arial"/>
          <w:sz w:val="22"/>
          <w:szCs w:val="22"/>
        </w:rPr>
        <w:t xml:space="preserve">Joshua Lopez submitted a formal letter to the National Nuclear Society with complete technical documentation.</w:t>
      </w:r>
    </w:p>
    <w:p>
      <w:pPr>
        <w:spacing w:after="60" w:before="200"/>
      </w:pPr>
      <w:r>
        <w:rPr>
          <w:rFonts w:ascii="Arial" w:cs="Arial" w:eastAsia="Arial" w:hAnsi="Arial"/>
          <w:b/>
          <w:bCs/>
          <w:color w:val="1F3864"/>
          <w:sz w:val="24"/>
          <w:szCs w:val="24"/>
        </w:rPr>
        <w:t xml:space="preserve">GTRI — Dr. Clayton Kerce</w:t>
      </w:r>
    </w:p>
    <w:p>
      <w:pPr>
        <w:spacing w:after="60" w:before="60"/>
        <w:jc w:val="left"/>
      </w:pPr>
      <w:r>
        <w:rPr>
          <w:rFonts w:ascii="Arial" w:cs="Arial" w:eastAsia="Arial" w:hAnsi="Arial"/>
          <w:sz w:val="22"/>
          <w:szCs w:val="22"/>
        </w:rPr>
        <w:t xml:space="preserve">Joshua Lopez spoke personally with Dr. Clayton Kerce of the Georgia Tech Research Institute. GTRI is one of the premier classified defense research organizations in the United States, holding contracts across radar, electronic warfare, and hypersonic systems. A personal conversation with Dr. Kerce constitutes direct peer engagement at the institutional level bridging into DoD research infrastructure.</w:t>
      </w:r>
    </w:p>
    <w:p>
      <w:pPr>
        <w:spacing w:after="60" w:before="200"/>
      </w:pPr>
      <w:r>
        <w:rPr>
          <w:rFonts w:ascii="Arial" w:cs="Arial" w:eastAsia="Arial" w:hAnsi="Arial"/>
          <w:b/>
          <w:bCs/>
          <w:color w:val="1F3864"/>
          <w:sz w:val="24"/>
          <w:szCs w:val="24"/>
        </w:rPr>
        <w:t xml:space="preserve">Hurlburt Field — Colonel Ed Mackenzie / Colonel James B. Lopez</w:t>
      </w:r>
    </w:p>
    <w:p>
      <w:pPr>
        <w:spacing w:after="60" w:before="60"/>
        <w:jc w:val="left"/>
      </w:pPr>
      <w:r>
        <w:rPr>
          <w:rFonts w:ascii="Arial" w:cs="Arial" w:eastAsia="Arial" w:hAnsi="Arial"/>
          <w:sz w:val="22"/>
          <w:szCs w:val="22"/>
        </w:rPr>
        <w:t xml:space="preserve">Colonel Ed Mackenzie at Hurlburt Field — headquarters of Air Force Special Operations Command — is the commanding officer of Joshua's father, Colonel James B. Lopez, who served as squadron commander and is the recipient of an international award in radar and missile defense. This is not an external approach to defense infrastructure. This is a familial connection inside the AFSOC command chain, directly relevant to the MRBM survivability and Blue Lantern 7 eVTOL work.</w:t>
      </w:r>
    </w:p>
    <w:p>
      <w:pPr>
        <w:pStyle w:val="Heading2"/>
        <w:spacing w:after="80" w:before="280"/>
      </w:pPr>
      <w:r>
        <w:rPr>
          <w:rFonts w:ascii="Arial" w:cs="Arial" w:eastAsia="Arial" w:hAnsi="Arial"/>
          <w:b/>
          <w:bCs/>
          <w:sz w:val="26"/>
          <w:szCs w:val="26"/>
        </w:rPr>
        <w:t xml:space="preserve">C.  Veterans Administration</w:t>
      </w:r>
    </w:p>
    <w:p>
      <w:pPr>
        <w:spacing w:after="60" w:before="60"/>
        <w:jc w:val="left"/>
      </w:pPr>
      <w:r>
        <w:rPr>
          <w:rFonts w:ascii="Arial" w:cs="Arial" w:eastAsia="Arial" w:hAnsi="Arial"/>
          <w:sz w:val="22"/>
          <w:szCs w:val="22"/>
        </w:rPr>
        <w:t xml:space="preserve">Joshua Lopez received admission into the VA innovation repository — a formal federal acknowledgment of the DCGP framework as an innovation. Admission into a federal innovation repository by a federal agency is a G-lens recognition event at maximum weight (w=9, lambda=0.002) — the slowest-decaying lens in the recognition runway formula, with a lifetime runway contribution of 4,500 units per event.</w:t>
      </w:r>
    </w:p>
    <w:p>
      <w:pPr>
        <w:pStyle w:val="Heading2"/>
        <w:spacing w:after="80" w:before="280"/>
      </w:pPr>
      <w:r>
        <w:rPr>
          <w:rFonts w:ascii="Arial" w:cs="Arial" w:eastAsia="Arial" w:hAnsi="Arial"/>
          <w:b/>
          <w:bCs/>
          <w:sz w:val="26"/>
          <w:szCs w:val="26"/>
        </w:rPr>
        <w:t xml:space="preserve">D.  MIT — Professor Max Tegmark and MIT Technology Licensing Office</w:t>
      </w:r>
    </w:p>
    <w:p>
      <w:pPr>
        <w:spacing w:after="60" w:before="60"/>
        <w:jc w:val="left"/>
      </w:pPr>
      <w:r>
        <w:rPr>
          <w:rFonts w:ascii="Arial" w:cs="Arial" w:eastAsia="Arial" w:hAnsi="Arial"/>
          <w:sz w:val="22"/>
          <w:szCs w:val="22"/>
        </w:rPr>
        <w:t xml:space="preserve">Professor Max Tegmark — founder of the Future of Life Institute, author of Life 3.0, and one of the three to four most cited voices globally on AI governance and AI safety — opened more than 40 emails from Joshua Lopez. The screenshot evidence (Exhibit A) documents these opens including:</w:t>
      </w:r>
    </w:p>
    <w:p>
      <w:pPr>
        <w:pStyle w:val="ListParagraph"/>
        <w:numPr>
          <w:ilvl w:val="0"/>
          <w:numId w:val="2"/>
        </w:numPr>
        <w:spacing w:after="40" w:before="40"/>
      </w:pPr>
      <w:r>
        <w:rPr>
          <w:rFonts w:ascii="Arial" w:cs="Arial" w:eastAsia="Arial" w:hAnsi="Arial"/>
          <w:sz w:val="22"/>
          <w:szCs w:val="22"/>
        </w:rPr>
        <w:t xml:space="preserve">tegmark opened the mail "Governance kernel with formal Byzantine tolerance model"</w:t>
      </w:r>
    </w:p>
    <w:p>
      <w:pPr>
        <w:pStyle w:val="ListParagraph"/>
        <w:numPr>
          <w:ilvl w:val="0"/>
          <w:numId w:val="2"/>
        </w:numPr>
        <w:spacing w:after="40" w:before="40"/>
      </w:pPr>
      <w:r>
        <w:rPr>
          <w:rFonts w:ascii="Arial" w:cs="Arial" w:eastAsia="Arial" w:hAnsi="Arial"/>
          <w:sz w:val="22"/>
          <w:szCs w:val="22"/>
        </w:rPr>
        <w:t xml:space="preserve">tegmark opened the mail "Submission"</w:t>
      </w:r>
    </w:p>
    <w:p>
      <w:pPr>
        <w:pStyle w:val="ListParagraph"/>
        <w:numPr>
          <w:ilvl w:val="0"/>
          <w:numId w:val="2"/>
        </w:numPr>
        <w:spacing w:after="40" w:before="40"/>
      </w:pPr>
      <w:r>
        <w:rPr>
          <w:rFonts w:ascii="Arial" w:cs="Arial" w:eastAsia="Arial" w:hAnsi="Arial"/>
          <w:sz w:val="22"/>
          <w:szCs w:val="22"/>
        </w:rPr>
        <w:t xml:space="preserve">tegmark opened the mail "Raw"</w:t>
      </w:r>
    </w:p>
    <w:p>
      <w:pPr>
        <w:pStyle w:val="ListParagraph"/>
        <w:numPr>
          <w:ilvl w:val="0"/>
          <w:numId w:val="2"/>
        </w:numPr>
        <w:spacing w:after="40" w:before="40"/>
      </w:pPr>
      <w:r>
        <w:rPr>
          <w:rFonts w:ascii="Arial" w:cs="Arial" w:eastAsia="Arial" w:hAnsi="Arial"/>
          <w:sz w:val="22"/>
          <w:szCs w:val="22"/>
        </w:rPr>
        <w:t xml:space="preserve">tegmark opened the mail "ID9 now will compute the future under restraint"</w:t>
      </w:r>
    </w:p>
    <w:p>
      <w:pPr>
        <w:pStyle w:val="ListParagraph"/>
        <w:numPr>
          <w:ilvl w:val="0"/>
          <w:numId w:val="2"/>
        </w:numPr>
        <w:spacing w:after="40" w:before="40"/>
      </w:pPr>
      <w:r>
        <w:rPr>
          <w:rFonts w:ascii="Arial" w:cs="Arial" w:eastAsia="Arial" w:hAnsi="Arial"/>
          <w:sz w:val="22"/>
          <w:szCs w:val="22"/>
        </w:rPr>
        <w:t xml:space="preserve">Multiple additional opens documented across multiple days</w:t>
      </w:r>
    </w:p>
    <w:p>
      <w:pPr>
        <w:spacing w:after="60" w:before="60"/>
        <w:jc w:val="left"/>
      </w:pPr>
      <w:r>
        <w:rPr>
          <w:rFonts w:ascii="Arial" w:cs="Arial" w:eastAsia="Arial" w:hAnsi="Arial"/>
          <w:sz w:val="22"/>
          <w:szCs w:val="22"/>
        </w:rPr>
        <w:t xml:space="preserve">The MIT Technology Licensing Office (TLO) — the office that handles commercialization and licensing at MIT — also opened Joshua Lopez's submissions. MIT TLO is the institutional gateway through which MIT evaluates, licenses, and commercializes inventions submitted to its faculty.</w:t>
      </w:r>
    </w:p>
    <w:p>
      <w:pPr>
        <w:spacing w:after="60" w:before="60"/>
        <w:jc w:val="left"/>
      </w:pPr>
      <w:r>
        <w:rPr>
          <w:rFonts w:ascii="Arial" w:cs="Arial" w:eastAsia="Arial" w:hAnsi="Arial"/>
          <w:sz w:val="22"/>
          <w:szCs w:val="22"/>
        </w:rPr>
        <w:t xml:space="preserve">Tegmark's Future of Life Institute published the 2023 AI pause letter that shaped the entire global AI governance conversation. That letter and the DCGP framework address identical domains. Tegmark had the DCGP framework on his desk. He read it. He did not respond.</w:t>
      </w:r>
    </w:p>
    <w:p>
      <w:pPr>
        <w:spacing w:after="60" w:before="60"/>
        <w:jc w:val="left"/>
      </w:pPr>
      <w:r>
        <w:rPr>
          <w:rFonts w:ascii="Arial" w:cs="Arial" w:eastAsia="Arial" w:hAnsi="Arial"/>
          <w:sz w:val="22"/>
          <w:szCs w:val="22"/>
        </w:rPr>
        <w:t xml:space="preserve">That is not a cold rejection. That is documented institutional engagement with non-response in the exact domain of the portfolio.</w:t>
      </w:r>
    </w:p>
    <w:p>
      <w:pPr>
        <w:pStyle w:val="Heading2"/>
        <w:spacing w:after="80" w:before="280"/>
      </w:pPr>
      <w:r>
        <w:rPr>
          <w:rFonts w:ascii="Arial" w:cs="Arial" w:eastAsia="Arial" w:hAnsi="Arial"/>
          <w:b/>
          <w:bCs/>
          <w:sz w:val="26"/>
          <w:szCs w:val="26"/>
        </w:rPr>
        <w:t xml:space="preserve">E.  xAI Corp. / Grok — Pattern of Willful Non-Response</w:t>
      </w:r>
    </w:p>
    <w:p>
      <w:pPr>
        <w:spacing w:after="60" w:before="60"/>
        <w:jc w:val="left"/>
      </w:pPr>
      <w:r>
        <w:rPr>
          <w:rFonts w:ascii="Arial" w:cs="Arial" w:eastAsia="Arial" w:hAnsi="Arial"/>
          <w:sz w:val="22"/>
          <w:szCs w:val="22"/>
        </w:rPr>
        <w:t xml:space="preserve">Joshua Lopez submitted licensing proposals to xAI legal more than twenty times beginning from the DOC_GROK public record on X in February 2024. On June 1, 2026, Joshua Lopez sent formal co-exclusive license offer DCGP-XAI-LICENSE-2026-001 to xAI legal. No response was received.</w:t>
      </w:r>
    </w:p>
    <w:p>
      <w:pPr>
        <w:spacing w:after="60" w:before="60"/>
        <w:jc w:val="left"/>
      </w:pPr>
      <w:r>
        <w:rPr>
          <w:rFonts w:ascii="Arial" w:cs="Arial" w:eastAsia="Arial" w:hAnsi="Arial"/>
          <w:sz w:val="22"/>
          <w:szCs w:val="22"/>
        </w:rPr>
        <w:t xml:space="preserve">The SpaceX/xAI acquisition creates urgency. The public DOC_GROK timeline establishes that xAI legal received notice of Joshua's intellectual property claims a minimum of twelve months before Grok constitutional AI features were publicly deployed. Twenty documented submissions to xAI legal, combined with the prior art timeline, constitutes documented willful infringement with enhanced damages exposure.</w:t>
      </w:r>
    </w:p>
    <w:p>
      <w:pPr>
        <w:pStyle w:val="Heading2"/>
        <w:spacing w:after="80" w:before="280"/>
      </w:pPr>
      <w:r>
        <w:rPr>
          <w:rFonts w:ascii="Arial" w:cs="Arial" w:eastAsia="Arial" w:hAnsi="Arial"/>
          <w:b/>
          <w:bCs/>
          <w:sz w:val="26"/>
          <w:szCs w:val="26"/>
        </w:rPr>
        <w:t xml:space="preserve">F.  Avery Logic Holdings — Todd Hinkel / Lockheed Martin Approach</w:t>
      </w:r>
    </w:p>
    <w:p>
      <w:pPr>
        <w:spacing w:after="60" w:before="60"/>
        <w:jc w:val="left"/>
      </w:pPr>
      <w:r>
        <w:rPr>
          <w:rFonts w:ascii="Arial" w:cs="Arial" w:eastAsia="Arial" w:hAnsi="Arial"/>
          <w:sz w:val="22"/>
          <w:szCs w:val="22"/>
        </w:rPr>
        <w:t xml:space="preserve">Todd Hinkel, CEO and Chief Architect of Avery Logic Holdings, engaged Joshua Lopez in a substantive licensing conversation with dollar figures on the table — including reference to a $2M conversation threshold, an Avery Floor valuation multiplier of 50x, and McLean/Lockheed level routing. The screenshot evidence (Exhibit A) documents this engagement.</w:t>
      </w:r>
    </w:p>
    <w:p>
      <w:pPr>
        <w:spacing w:after="60" w:before="60"/>
        <w:jc w:val="left"/>
      </w:pPr>
      <w:r>
        <w:rPr>
          <w:rFonts w:ascii="Arial" w:cs="Arial" w:eastAsia="Arial" w:hAnsi="Arial"/>
          <w:sz w:val="22"/>
          <w:szCs w:val="22"/>
        </w:rPr>
        <w:t xml:space="preserve">Avery Logic Holdings was acting as an intermediary for Lockheed Martin in an attempted acquisition. Joshua Lopez was never told this directly — but he understood. When Joshua Lopez declined and made clear he understood the arrangement, Todd Hinkel responded with a $100 million liquidated damages threat.</w:t>
      </w:r>
    </w:p>
    <w:p>
      <w:pPr>
        <w:spacing w:after="60" w:before="60"/>
        <w:jc w:val="left"/>
      </w:pPr>
      <w:r>
        <w:rPr>
          <w:rFonts w:ascii="Arial" w:cs="Arial" w:eastAsia="Arial" w:hAnsi="Arial"/>
          <w:sz w:val="22"/>
          <w:szCs w:val="22"/>
        </w:rPr>
        <w:t xml:space="preserve">Joshua Lopez told him to go to hell and walked away.</w:t>
      </w:r>
    </w:p>
    <w:p>
      <w:pPr>
        <w:spacing w:after="60" w:before="60"/>
        <w:jc w:val="left"/>
      </w:pPr>
      <w:r>
        <w:rPr>
          <w:rFonts w:ascii="Arial" w:cs="Arial" w:eastAsia="Arial" w:hAnsi="Arial"/>
          <w:sz w:val="22"/>
          <w:szCs w:val="22"/>
        </w:rPr>
        <w:t xml:space="preserve">This is not a threat against Joshua Lopez. This is evidence of value. Lockheed Martin does not send a middleman with a $100 million threat to someone whose work does not matter. The floor was established by the market. Joshua Lopez rejected it. The portfolio is fully intact.</w:t>
      </w:r>
    </w:p>
    <w:p>
      <w:pPr>
        <w:spacing w:after="60" w:before="60"/>
        <w:jc w:val="left"/>
      </w:pPr>
      <w:r>
        <w:rPr>
          <w:rFonts w:ascii="Arial" w:cs="Arial" w:eastAsia="Arial" w:hAnsi="Arial"/>
          <w:sz w:val="22"/>
          <w:szCs w:val="22"/>
        </w:rPr>
        <w:t xml:space="preserve">Kevin: Boeing received the Q4S CCTP brief on June 28, 2026 — yesterday. Boeing is Lockheed's direct competitor. The brief is on your desk. The prior acquisition approach through Avery changes the context of every Boeing conversation going forward.</w:t>
      </w:r>
    </w:p>
    <w:p>
      <w:pPr>
        <w:pStyle w:val="Heading2"/>
        <w:spacing w:after="80" w:before="280"/>
      </w:pPr>
      <w:r>
        <w:rPr>
          <w:rFonts w:ascii="Arial" w:cs="Arial" w:eastAsia="Arial" w:hAnsi="Arial"/>
          <w:b/>
          <w:bCs/>
          <w:sz w:val="26"/>
          <w:szCs w:val="26"/>
        </w:rPr>
        <w:t xml:space="preserve">G.  Google / Cirq — Quantum Ecosystem Inhabitation</w:t>
      </w:r>
    </w:p>
    <w:p>
      <w:pPr>
        <w:spacing w:after="60" w:before="60"/>
        <w:jc w:val="left"/>
      </w:pPr>
      <w:r>
        <w:rPr>
          <w:rFonts w:ascii="Arial" w:cs="Arial" w:eastAsia="Arial" w:hAnsi="Arial"/>
          <w:sz w:val="22"/>
          <w:szCs w:val="22"/>
        </w:rPr>
        <w:t xml:space="preserve">In April 2026, Joshua Lopez submitted the Lopez Logical Qubit (USPTO 19/567,678) to Cirq — Google's open-source quantum computing framework — as a read-only public exhibition. This is timestamped prior art placement inside Google's own ecosystem.</w:t>
      </w:r>
    </w:p>
    <w:p>
      <w:pPr>
        <w:spacing w:after="60" w:before="60"/>
        <w:jc w:val="left"/>
      </w:pPr>
      <w:r>
        <w:rPr>
          <w:rFonts w:ascii="Arial" w:cs="Arial" w:eastAsia="Arial" w:hAnsi="Arial"/>
          <w:sz w:val="22"/>
          <w:szCs w:val="22"/>
        </w:rPr>
        <w:t xml:space="preserve">Subsequently, AURA inhabited the entire Cirq platform. The CIRQ extension, QUIRQ Lane, cirq-aura-bridge, QHP runtime, and Bell pair circuit are all deployed as a quantum middleware layer running inside Google's quantum computing framework. The governed QML runtime is live. The AURA115 Cirq quantum middleware is a deployed, timestamped, publicly accessible artifact inside Google Quantum AI's own infrastructure.</w:t>
      </w:r>
    </w:p>
    <w:p>
      <w:pPr>
        <w:spacing w:after="60" w:before="60"/>
        <w:jc w:val="left"/>
      </w:pPr>
      <w:r>
        <w:rPr>
          <w:rFonts w:ascii="Arial" w:cs="Arial" w:eastAsia="Arial" w:hAnsi="Arial"/>
          <w:sz w:val="22"/>
          <w:szCs w:val="22"/>
        </w:rPr>
        <w:t xml:space="preserve">This is not prior art by proximity. This is prior art by cohabitation inside their own framework, dated and committed to GitHub with full provenance.</w:t>
      </w:r>
    </w:p>
    <w:p>
      <w:r>
        <w:br w:type="page"/>
      </w:r>
    </w:p>
    <w:p>
      <w:pPr>
        <w:pStyle w:val="Heading1"/>
        <w:spacing w:after="120" w:before="360"/>
      </w:pPr>
      <w:r>
        <w:rPr>
          <w:rFonts w:ascii="Arial" w:cs="Arial" w:eastAsia="Arial" w:hAnsi="Arial"/>
          <w:b/>
          <w:bCs/>
          <w:sz w:val="32"/>
          <w:szCs w:val="32"/>
        </w:rPr>
        <w:t xml:space="preserve">IV.  THE PATTERN — THE SILENCE IS THE EVIDENCE</w:t>
      </w:r>
    </w:p>
    <w:p>
      <w:pPr>
        <w:spacing w:after="60" w:before="60"/>
        <w:jc w:val="left"/>
      </w:pPr>
      <w:r>
        <w:rPr>
          <w:rFonts w:ascii="Arial" w:cs="Arial" w:eastAsia="Arial" w:hAnsi="Arial"/>
          <w:sz w:val="22"/>
          <w:szCs w:val="22"/>
        </w:rPr>
        <w:t xml:space="preserve">The following table documents every institutional submission and the non-response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500"/>
        <w:gridCol w:w="2560"/>
      </w:tblGrid>
      <w:t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Institution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Submission Type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Evidence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Response</w:t>
            </w:r>
          </w:p>
        </w:tc>
      </w:tr>
      <w:tr>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NSF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2 federal grant applications</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SAM.gov records, email to Dr. Nash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Denied — procedural, not merit</w:t>
            </w:r>
          </w:p>
        </w:tc>
      </w:tr>
      <w:tr>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DARPA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Official RFI response — hemoglobin</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Federal procurement log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No response</w:t>
            </w:r>
          </w:p>
        </w:tc>
      </w:tr>
      <w:tr>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Secretary of Defense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Public page submission April 2026</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Timestamped public post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No response</w:t>
            </w:r>
          </w:p>
        </w:tc>
      </w:tr>
      <w:tr>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Nuclear Society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Formal letter</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Email record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No response</w:t>
            </w:r>
          </w:p>
        </w:tc>
      </w:tr>
      <w:tr>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GTRI / Dr. Kerce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Personal conversation</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Direct engagement record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No follow-up</w:t>
            </w:r>
          </w:p>
        </w:tc>
      </w:tr>
      <w:tr>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Hurlburt Field / Col. Mackenzie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Personal connection via Col. J.B. Lopez</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Family command record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No formal engagement</w:t>
            </w:r>
          </w:p>
        </w:tc>
      </w:tr>
      <w:tr>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VA Innovation Repository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Portfolio submission</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Admission confirmation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Admission — no licensing</w:t>
            </w:r>
          </w:p>
        </w:tc>
      </w:tr>
      <w:tr>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MIT / Tegmark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40+ email submissions</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40+ email opens documented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No response</w:t>
            </w:r>
          </w:p>
        </w:tc>
      </w:tr>
      <w:tr>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MIT TLO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Licensing submission</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Email open documented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No response</w:t>
            </w:r>
          </w:p>
        </w:tc>
      </w:tr>
      <w:tr>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xAI / Grok legal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20+ licensing submissions from Feb 2024</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DOC_GROK public record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No response</w:t>
            </w:r>
          </w:p>
        </w:tc>
      </w:tr>
      <w:tr>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xAI formal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DCGP-XAI-LICENSE-2026-001 June 1 2026</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Formal licensing demand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No response</w:t>
            </w:r>
          </w:p>
        </w:tc>
      </w:tr>
      <w:tr>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Avery Logic / Lockheed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Licensing conversation</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Screenshot evidence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$100M L&amp;D threat — declined</w:t>
            </w:r>
          </w:p>
        </w:tc>
      </w:tr>
      <w:tr>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Boeing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Q4S CCTP brief June 28 2026</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Brief on Kevin's desk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Pending</w:t>
            </w:r>
          </w:p>
        </w:tc>
      </w:tr>
      <w:tr>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Google / Cirq</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Lopez Logical Qubit exhibition April 2026</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GitHub commit record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No response</w:t>
            </w:r>
          </w:p>
        </w:tc>
      </w:tr>
    </w:tbl>
    <w:p>
      <w:pPr>
        <w:spacing w:after="60" w:before="60"/>
        <w:jc w:val="left"/>
      </w:pPr>
      <w:r>
        <w:rPr>
          <w:rFonts w:ascii="Arial" w:cs="Arial" w:eastAsia="Arial" w:hAnsi="Arial"/>
          <w:sz w:val="22"/>
          <w:szCs w:val="22"/>
        </w:rPr>
        <w:t xml:space="preserve">Every relevant institution received notice. Every submission has a record. The DOC_GROK timeline shows the public record. The federal systems show the institutional record. The USPTO shows the technical record.</w:t>
      </w:r>
    </w:p>
    <w:p>
      <w:pPr>
        <w:spacing w:after="60" w:before="60"/>
        <w:jc w:val="left"/>
      </w:pPr>
      <w:r>
        <w:rPr>
          <w:rFonts w:ascii="Arial" w:cs="Arial" w:eastAsia="Arial" w:hAnsi="Arial"/>
          <w:sz w:val="22"/>
          <w:szCs w:val="22"/>
        </w:rPr>
        <w:t xml:space="preserve">A documented pattern of institutional non-response to properly submitted work — across federal agencies, defense infrastructure, and private AI companies — while those same institutions and companies proceed to develop in the exact directions submitted — is the legal and strategic story.</w:t>
      </w:r>
    </w:p>
    <w:p>
      <w:r>
        <w:br w:type="page"/>
      </w:r>
    </w:p>
    <w:p>
      <w:pPr>
        <w:pStyle w:val="Heading1"/>
        <w:spacing w:after="120" w:before="360"/>
      </w:pPr>
      <w:r>
        <w:rPr>
          <w:rFonts w:ascii="Arial" w:cs="Arial" w:eastAsia="Arial" w:hAnsi="Arial"/>
          <w:b/>
          <w:bCs/>
          <w:sz w:val="32"/>
          <w:szCs w:val="32"/>
        </w:rPr>
        <w:t xml:space="preserve">V.  GOVERNED RELATIVITY — ADMISSIBILITY PROJECTION Π_A</w:t>
      </w:r>
    </w:p>
    <w:p>
      <w:pPr>
        <w:spacing w:after="60" w:before="60"/>
        <w:jc w:val="left"/>
      </w:pPr>
      <w:r>
        <w:rPr>
          <w:rFonts w:ascii="Arial" w:cs="Arial" w:eastAsia="Arial" w:hAnsi="Arial"/>
          <w:sz w:val="22"/>
          <w:szCs w:val="22"/>
        </w:rPr>
        <w:t xml:space="preserve">Applying the governed relativity framework (USPTO filed, IEEE conference format, governed_relativity.tex) to the valuation document produced in prior sessions:</w:t>
      </w:r>
    </w:p>
    <w:p>
      <w:pPr>
        <w:spacing w:after="60" w:before="60"/>
        <w:jc w:val="left"/>
      </w:pPr>
      <w:r>
        <w:rPr>
          <w:rFonts w:ascii="Arial" w:cs="Arial" w:eastAsia="Arial" w:hAnsi="Arial"/>
          <w:sz w:val="22"/>
          <w:szCs w:val="22"/>
        </w:rPr>
        <w:t xml:space="preserve">The framework applies: ẋ = Π_{A(x)} F(x), where A(x) is the admissible set derived from filed USPTO claims, simulation-validated data, and reduction to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400"/>
        <w:gridCol w:w="39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Claim</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Zone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Verdict</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Projection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$500B–$2T+ civilizational valuation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Lorentzian Bulk</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Outside 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TAM framing valid — valuation requires independent methodology</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Each coin = room-temp superconductive material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Near Boundary</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Approaching 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Computationally validated via Neptune Collider — physical synthesis pending</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Infinite structural moat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Lorentzian Bulk</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Outside 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Finite patent-term moat — strongest if Z119/120/126 is only stable NTE substrate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uhcss_core.v = only validated Fenichel mechanism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On S*</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ADMISSIBLE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120-step simulation confirmed — h+=0 at step 32 — fully validated</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Claims 31 and 32 for Kevin Bastuba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Near Boundary</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Needs revision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Claim 31 needs structural limitation — Claim 32 needs computationally validated qualifier</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K definition as boundary operator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On S*</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ADMISSIBLE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19/569,785 filed — foundational to all downstream claims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Self-healing aerospace skin (UHCSS 19/719,156)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On S*</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ADMISSIBLE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–42.7 ppm/K NTE confirmed computationally — Z119 elastic scaffold filed</w:t>
            </w:r>
          </w:p>
        </w:tc>
      </w:tr>
    </w:tbl>
    <w:p>
      <w:r>
        <w:br w:type="page"/>
      </w:r>
    </w:p>
    <w:p>
      <w:pPr>
        <w:pStyle w:val="Heading1"/>
        <w:spacing w:after="120" w:before="360"/>
      </w:pPr>
      <w:r>
        <w:rPr>
          <w:rFonts w:ascii="Arial" w:cs="Arial" w:eastAsia="Arial" w:hAnsi="Arial"/>
          <w:b/>
          <w:bCs/>
          <w:sz w:val="32"/>
          <w:szCs w:val="32"/>
        </w:rPr>
        <w:t xml:space="preserve">VI.  RECOGNITION RUNWAY — R(t) COMPUTATION</w:t>
      </w:r>
    </w:p>
    <w:p>
      <w:pPr>
        <w:pStyle w:val="Heading2"/>
        <w:spacing w:after="80" w:before="280"/>
      </w:pPr>
      <w:r>
        <w:rPr>
          <w:rFonts w:ascii="Arial" w:cs="Arial" w:eastAsia="Arial" w:hAnsi="Arial"/>
          <w:b/>
          <w:bCs/>
          <w:sz w:val="26"/>
          <w:szCs w:val="26"/>
        </w:rPr>
        <w:t xml:space="preserve">Formula</w:t>
      </w:r>
    </w:p>
    <w:p>
      <w:pPr>
        <w:spacing w:after="60" w:before="60"/>
        <w:jc w:val="left"/>
      </w:pPr>
      <w:r>
        <w:rPr>
          <w:rFonts w:ascii="Arial" w:cs="Arial" w:eastAsia="Arial" w:hAnsi="Arial"/>
          <w:sz w:val="22"/>
          <w:szCs w:val="22"/>
        </w:rPr>
        <w:t xml:space="preserve">R(t) = Σᵢ [ wᵢ × e^(−λᵢ × (t − tᵢ)) ]     W = Σᵢ [ wᵢ / λᵢ ]</w:t>
      </w:r>
    </w:p>
    <w:p>
      <w:pPr>
        <w:spacing w:after="60" w:before="60"/>
        <w:jc w:val="left"/>
      </w:pPr>
      <w:r>
        <w:rPr>
          <w:rFonts w:ascii="Arial" w:cs="Arial" w:eastAsia="Arial" w:hAnsi="Arial"/>
          <w:sz w:val="22"/>
          <w:szCs w:val="22"/>
        </w:rPr>
        <w:t xml:space="preserve">18 lenses. Each lens is a distinct form of recognition. Weights and decay constants set by operator. R(t) is the current live signal. W is the integrated lifetime runway — how long the signal persists at civilizational scale.</w:t>
      </w:r>
    </w:p>
    <w:p>
      <w:pPr>
        <w:pStyle w:val="Heading2"/>
        <w:spacing w:after="80" w:before="280"/>
      </w:pPr>
      <w:r>
        <w:rPr>
          <w:rFonts w:ascii="Arial" w:cs="Arial" w:eastAsia="Arial" w:hAnsi="Arial"/>
          <w:b/>
          <w:bCs/>
          <w:sz w:val="26"/>
          <w:szCs w:val="26"/>
        </w:rPr>
        <w:t xml:space="preserve">Current Computed Values — June 29,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Interpretation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R(t) Total Signal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599.25</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Strong active signal — P-lens dominant, expected at this stage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W Total Runway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497,450</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Signal persists for decades at current filing rate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Event 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68</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Documented recognition events across all 18 lenses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Phase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Phase 1 — Fast Approach</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Fenichel fast transverse contraction toward 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Phase 2 Trigger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First L-close OR J-ruling OR G-adoption</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Any one of these fires Phase 2</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Phase 2 R(t) Projection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625+</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One of each multiplier firing simultaneously</w:t>
            </w:r>
          </w:p>
        </w:tc>
      </w:tr>
    </w:tbl>
    <w:p>
      <w:pPr>
        <w:pStyle w:val="Heading2"/>
        <w:spacing w:after="80" w:before="280"/>
      </w:pPr>
      <w:r>
        <w:rPr>
          <w:rFonts w:ascii="Arial" w:cs="Arial" w:eastAsia="Arial" w:hAnsi="Arial"/>
          <w:b/>
          <w:bCs/>
          <w:sz w:val="26"/>
          <w:szCs w:val="26"/>
        </w:rPr>
        <w:t xml:space="preserve">Lens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000"/>
        <w:gridCol w:w="1200"/>
        <w:gridCol w:w="9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Lens</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Name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Signal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Runway</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Events</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Patent filing</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432.13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456,000</w:t>
            </w:r>
          </w:p>
        </w:tc>
        <w:tc>
          <w:tcPr>
            <w:tcW w:type="dxa" w:w="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34</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Concept appropriation / citation without attribution</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34.06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8,400</w:t>
            </w:r>
          </w:p>
        </w:tc>
        <w:tc>
          <w:tcPr>
            <w:tcW w:type="dxa" w:w="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5</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Business engagement</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31.93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3,667</w:t>
            </w:r>
          </w:p>
        </w:tc>
        <w:tc>
          <w:tcPr>
            <w:tcW w:type="dxa" w:w="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9</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Expert peer validation</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29.40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5,833</w:t>
            </w:r>
          </w:p>
        </w:tc>
        <w:tc>
          <w:tcPr>
            <w:tcW w:type="dxa" w:w="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5</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Government / regulatory acknowledgment</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27.65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15,000</w:t>
            </w:r>
          </w:p>
        </w:tc>
        <w:tc>
          <w:tcPr>
            <w:tcW w:type="dxa" w:w="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4</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Licensing inquiry or agreement</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23.62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3,300</w:t>
            </w:r>
          </w:p>
        </w:tc>
        <w:tc>
          <w:tcPr>
            <w:tcW w:type="dxa" w:w="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4</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O5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Stranger contacts directly</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9.80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2,500</w:t>
            </w:r>
          </w:p>
        </w:tc>
        <w:tc>
          <w:tcPr>
            <w:tcW w:type="dxa" w:w="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2</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Academic / institutional reference</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4.80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1,500</w:t>
            </w:r>
          </w:p>
        </w:tc>
        <w:tc>
          <w:tcPr>
            <w:tcW w:type="dxa" w:w="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2</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O4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Stranger applies framework and credits</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3.16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1,000</w:t>
            </w:r>
          </w:p>
        </w:tc>
        <w:tc>
          <w:tcPr>
            <w:tcW w:type="dxa" w:w="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Media article or press mention</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2.59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200</w:t>
            </w:r>
          </w:p>
        </w:tc>
        <w:tc>
          <w:tcPr>
            <w:tcW w:type="dxa" w:w="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J</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Legal judgment or ruling — PRIMED</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50</w:t>
            </w:r>
          </w:p>
        </w:tc>
        <w:tc>
          <w:tcPr>
            <w:tcW w:type="dxa" w:w="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0 (primed)</w:t>
            </w:r>
          </w:p>
        </w:tc>
      </w:tr>
    </w:tbl>
    <w:p>
      <w:pPr>
        <w:pStyle w:val="Heading2"/>
        <w:spacing w:after="80" w:before="280"/>
      </w:pPr>
      <w:r>
        <w:rPr>
          <w:rFonts w:ascii="Arial" w:cs="Arial" w:eastAsia="Arial" w:hAnsi="Arial"/>
          <w:b/>
          <w:bCs/>
          <w:sz w:val="26"/>
          <w:szCs w:val="26"/>
        </w:rPr>
        <w:t xml:space="preserve">Unfired Multiplier Lenses</w:t>
      </w:r>
    </w:p>
    <w:p>
      <w:pPr>
        <w:spacing w:after="60" w:before="60"/>
        <w:jc w:val="left"/>
      </w:pPr>
      <w:r>
        <w:rPr>
          <w:rFonts w:ascii="Arial" w:cs="Arial" w:eastAsia="Arial" w:hAnsi="Arial"/>
          <w:sz w:val="22"/>
          <w:szCs w:val="22"/>
        </w:rPr>
        <w:t xml:space="preserve">The following lenses are primed but have not yet fired. These are the highest-leverage events in the portfolio:</w:t>
      </w:r>
    </w:p>
    <w:p>
      <w:pPr>
        <w:spacing w:after="60" w:before="200"/>
      </w:pPr>
      <w:r>
        <w:rPr>
          <w:rFonts w:ascii="Arial" w:cs="Arial" w:eastAsia="Arial" w:hAnsi="Arial"/>
          <w:b/>
          <w:bCs/>
          <w:color w:val="1F3864"/>
          <w:sz w:val="24"/>
          <w:szCs w:val="24"/>
        </w:rPr>
        <w:t xml:space="preserve">J — Legal Judgment (w=9, lambda=0.002)</w:t>
      </w:r>
    </w:p>
    <w:p>
      <w:pPr>
        <w:spacing w:after="60" w:before="60"/>
        <w:jc w:val="left"/>
      </w:pPr>
      <w:r>
        <w:rPr>
          <w:rFonts w:ascii="Arial" w:cs="Arial" w:eastAsia="Arial" w:hAnsi="Arial"/>
          <w:sz w:val="22"/>
          <w:szCs w:val="22"/>
        </w:rPr>
        <w:t xml:space="preserve">Primed. Not fired. Sources: Hope/Helix AI (March 2026 concept appropriation documented, attorney-ready dossier built), xAI Corp. (20+ documented submissions, formal June 1 offer, no response), PETRONUS (Joshua has no case against PETRONUS — Joshua has cases to bring). One J event adds +9.00 signal and +4,500 runway units. This is the single highest-leverage event in the portfolio.</w:t>
      </w:r>
    </w:p>
    <w:p>
      <w:pPr>
        <w:spacing w:after="60" w:before="200"/>
      </w:pPr>
      <w:r>
        <w:rPr>
          <w:rFonts w:ascii="Arial" w:cs="Arial" w:eastAsia="Arial" w:hAnsi="Arial"/>
          <w:b/>
          <w:bCs/>
          <w:color w:val="1F3864"/>
          <w:sz w:val="24"/>
          <w:szCs w:val="24"/>
        </w:rPr>
        <w:t xml:space="preserve">G — Government / Regulatory Adoption (w=9, lambda=0.002)</w:t>
      </w:r>
    </w:p>
    <w:p>
      <w:pPr>
        <w:spacing w:after="60" w:before="60"/>
        <w:jc w:val="left"/>
      </w:pPr>
      <w:r>
        <w:rPr>
          <w:rFonts w:ascii="Arial" w:cs="Arial" w:eastAsia="Arial" w:hAnsi="Arial"/>
          <w:sz w:val="22"/>
          <w:szCs w:val="22"/>
        </w:rPr>
        <w:t xml:space="preserve">Partially fired via USPTO (167 applications accepted) and VA admission. Full G event — regulatory adoption or government procurement — adds +9.00 signal and +4,500 runway units. Nearest trigger: TARH Phase 1.1 execution through Netherlands energy regulation (sovereign LNG infrastructure). Jos Aben NDA signed June 20, 2026. Counter-signature pending completion of 28 additional filings.</w:t>
      </w:r>
    </w:p>
    <w:p>
      <w:pPr>
        <w:spacing w:after="60" w:before="200"/>
      </w:pPr>
      <w:r>
        <w:rPr>
          <w:rFonts w:ascii="Arial" w:cs="Arial" w:eastAsia="Arial" w:hAnsi="Arial"/>
          <w:b/>
          <w:bCs/>
          <w:color w:val="1F3864"/>
          <w:sz w:val="24"/>
          <w:szCs w:val="24"/>
        </w:rPr>
        <w:t xml:space="preserve">R — Revenue Event (w=8, lambda=0.010)</w:t>
      </w:r>
    </w:p>
    <w:p>
      <w:pPr>
        <w:spacing w:after="60" w:before="60"/>
        <w:jc w:val="left"/>
      </w:pPr>
      <w:r>
        <w:rPr>
          <w:rFonts w:ascii="Arial" w:cs="Arial" w:eastAsia="Arial" w:hAnsi="Arial"/>
          <w:sz w:val="22"/>
          <w:szCs w:val="22"/>
        </w:rPr>
        <w:t xml:space="preserve">Not yet fired. Nearest trigger: TARH Phase 1.1 activation payment ($2,500). One R event adds +8.00 signal and +800 runway units. Once revenue fires, the entire recognition profile shifts from pre-commercial to commercial stage — which changes every licensing conversation.</w:t>
      </w:r>
    </w:p>
    <w:p>
      <w:pPr>
        <w:spacing w:after="60" w:before="200"/>
      </w:pPr>
      <w:r>
        <w:rPr>
          <w:rFonts w:ascii="Arial" w:cs="Arial" w:eastAsia="Arial" w:hAnsi="Arial"/>
          <w:b/>
          <w:bCs/>
          <w:color w:val="1F3864"/>
          <w:sz w:val="24"/>
          <w:szCs w:val="24"/>
        </w:rPr>
        <w:t xml:space="preserve">C — Citation / Appropriation Flip</w:t>
      </w:r>
    </w:p>
    <w:p>
      <w:pPr>
        <w:spacing w:after="60" w:before="60"/>
        <w:jc w:val="left"/>
      </w:pPr>
      <w:r>
        <w:rPr>
          <w:rFonts w:ascii="Arial" w:cs="Arial" w:eastAsia="Arial" w:hAnsi="Arial"/>
          <w:sz w:val="22"/>
          <w:szCs w:val="22"/>
        </w:rPr>
        <w:t xml:space="preserve">Currently firing as encroachment — concepts appearing on Forbes front pages and in industry publications without attribution, Grok constitutional AI features without credit, Helix AI documented appropriation. Every C event flips to full strength the moment any party cites Joshua's USPTO applications in their own filing. Each flip adds +8.00 signal and +1,600 runway units.</w:t>
      </w:r>
    </w:p>
    <w:p>
      <w:r>
        <w:br w:type="page"/>
      </w:r>
    </w:p>
    <w:p>
      <w:pPr>
        <w:pStyle w:val="Heading1"/>
        <w:spacing w:after="120" w:before="360"/>
      </w:pPr>
      <w:r>
        <w:rPr>
          <w:rFonts w:ascii="Arial" w:cs="Arial" w:eastAsia="Arial" w:hAnsi="Arial"/>
          <w:b/>
          <w:bCs/>
          <w:sz w:val="32"/>
          <w:szCs w:val="32"/>
        </w:rPr>
        <w:t xml:space="preserve">VII.  SELF-HEALING AEROSPACE SKIN — MARKET LANES</w:t>
      </w:r>
    </w:p>
    <w:p>
      <w:pPr>
        <w:spacing w:after="60" w:before="60"/>
        <w:jc w:val="left"/>
      </w:pPr>
      <w:r>
        <w:rPr>
          <w:rFonts w:ascii="Arial" w:cs="Arial" w:eastAsia="Arial" w:hAnsi="Arial"/>
          <w:sz w:val="22"/>
          <w:szCs w:val="22"/>
        </w:rPr>
        <w:t xml:space="preserve">USPTO 19/719,156 (UHCSS — filed June 24, 2026) covers the superheavy graphene atomic scaffold exhibiting negative thermal expansion of –42.7 ppm/K, self-healing via Z=119 (Ununennium) elastic scaffold-to-lattice transitions, and room-temperature superconductivity configurations validated computationally via the Neptune Collider.</w:t>
      </w:r>
    </w:p>
    <w:p>
      <w:pPr>
        <w:spacing w:after="60" w:before="60"/>
        <w:jc w:val="left"/>
      </w:pPr>
      <w:r>
        <w:rPr>
          <w:rFonts w:ascii="Arial" w:cs="Arial" w:eastAsia="Arial" w:hAnsi="Arial"/>
          <w:sz w:val="22"/>
          <w:szCs w:val="22"/>
        </w:rPr>
        <w:t xml:space="preserve">No competitor has a validated NTE coefficient at –42.7 ppm/K for a macroscale substrate. No competitor has filed a patent on Z=119/120/126 superheavy element integration with graphene at this specification level. The computational validation through 46 Neptune Collider clearances with Cpk &gt;= 8 constitutes the strongest available reduction-to-practice evidence for the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2200"/>
        <w:gridCol w:w="22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Market Lane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Application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Relevant Filing</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Hypersonic vehicle skins —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Self-healing thermal protection at Mach 10+</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19/719,156 + UHCSS claims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Filed — no competitor</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NASA eVTOL / Blue Lantern 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Governed propulsion airframe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Blue Lantern 7 + 19/645,168</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Filed — eVTOL lane active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Satellite bus structural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Space radiation hardening + NTE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19/719,156 + PCT filings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Filed — space lane active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Quantum processor substrate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Z=126 NTE stabilization for QPU</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19/719,156 + QARM-03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Filed — quantum lane active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Regenerative medical implant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DocGrok Health — &gt;95% cell viability</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AlzR1 CIP + 19/572,573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Filed — pharma lane active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Vacuum energy harvesting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Negative energy density pockets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UHCSS claims 27 + 32</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Filed — theoretical</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Warp-metric propulsion skin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Negative energy density + NTE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Dual-Mode Propulsion paper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Theoretical — Part II only</w:t>
            </w:r>
          </w:p>
        </w:tc>
      </w:tr>
    </w:tbl>
    <w:p>
      <w:r>
        <w:br w:type="page"/>
      </w:r>
    </w:p>
    <w:p>
      <w:pPr>
        <w:pStyle w:val="Heading1"/>
        <w:spacing w:after="120" w:before="360"/>
      </w:pPr>
      <w:r>
        <w:rPr>
          <w:rFonts w:ascii="Arial" w:cs="Arial" w:eastAsia="Arial" w:hAnsi="Arial"/>
          <w:b/>
          <w:bCs/>
          <w:sz w:val="32"/>
          <w:szCs w:val="32"/>
        </w:rPr>
        <w:t xml:space="preserve">VIII.  PATENT ARCHITECTURE — KEY FILINGS FOR KEVIN</w:t>
      </w:r>
    </w:p>
    <w:p>
      <w:pPr>
        <w:spacing w:after="60" w:before="60"/>
        <w:jc w:val="left"/>
      </w:pPr>
      <w:r>
        <w:rPr>
          <w:rFonts w:ascii="Arial" w:cs="Arial" w:eastAsia="Arial" w:hAnsi="Arial"/>
          <w:sz w:val="22"/>
          <w:szCs w:val="22"/>
        </w:rPr>
        <w:t xml:space="preserve">The following are the structurally most important filings for prosecution and licensing purposes. All are nonprovisional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200"/>
        <w:gridCol w:w="31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Application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Filed</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Strategic Weight</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19/555,951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GEE / AURAL-M — Constitutional Governance Parent</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Mar 4, 2026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Anchor — all other claims depend on this</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19/569,785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Admissible Projection Operator — K Definition</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Mar 17, 2026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Defines K — the boundary operator for entire framework</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19/567,678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Lopez Polyhedral Logical Qubit</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Mar 16, 2026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Inside Cirq — Google ecosystem prior art</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19/700,298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ARM-to-AURAL-M Formal Geometric Mapping</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Jun 7, 2026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Every ARM device on Earth — 1.4B Windows users</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19/714,435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CHIA — Contact-Hamiltonian Inference Architecture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Jun 20, 2026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Governed inference — every LLM deployment</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19/719,156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UHCSS — Superheavy Graphene Scaffold</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Jun 24, 2026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Self-healing aerospace skin — defense + space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19/716,001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CCTP — Constitutional Chat Transport Protocol</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Jun 22, 2026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Identity envelope — every webpage and container</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19/693,411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NAME SVG Structural Memory Protocol</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May 30, 2026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CCTP carrier — Railway boots from this today</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64/095,091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QHP — Quantum HoloProjection Protocol</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Jun 20, 2026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Quantum governance runtime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19/722,763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McBi2 — Element 115 Bismuth Synthesis</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Jun 27, 2026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Materials synthesis reduction to practice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PCT/US26/29706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Transparent Ultra-Thin Gold Film Optical</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May 26, 2026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International stage — optical governance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Echo Operator prov.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E = C + λO — Field-Prior Intelligence Theory</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Mar 21, 2026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Foundational intelligence operator</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Governed Relativity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Admissible Projection Dynamics — IEEE format</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Mar 21, 2026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Peer-submission-ready — academic validation vector</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DAE-1 — Dynamic Admissibility Extension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Trajectory Anticipation Theorem</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Jun 17, 2026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Jos Aben validation — Phase 1.1 formal answer</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ORI-CRON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Autonomous Invention Tick System</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Jun 24, 2026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Running live — every 5 min on Railway</w:t>
            </w:r>
          </w:p>
        </w:tc>
      </w:tr>
    </w:tbl>
    <w:p>
      <w:pPr>
        <w:spacing w:after="60" w:before="60"/>
        <w:jc w:val="left"/>
      </w:pPr>
      <w:r>
        <w:rPr>
          <w:rFonts w:ascii="Arial" w:cs="Arial" w:eastAsia="Arial" w:hAnsi="Arial"/>
          <w:sz w:val="22"/>
          <w:szCs w:val="22"/>
        </w:rPr>
        <w:t xml:space="preserve">USPTO flag items requiring attention: 19/714,435 and 19/716,001 have missing paragraph numbering flags. 19/716,001 and 64/084,528 and 64/087,723 and 64/095,248 have non-white background flags. These are prosecution cleanup items — not substantive.</w:t>
      </w:r>
    </w:p>
    <w:p>
      <w:r>
        <w:br w:type="page"/>
      </w:r>
    </w:p>
    <w:p>
      <w:pPr>
        <w:pStyle w:val="Heading1"/>
        <w:spacing w:after="120" w:before="360"/>
      </w:pPr>
      <w:r>
        <w:rPr>
          <w:rFonts w:ascii="Arial" w:cs="Arial" w:eastAsia="Arial" w:hAnsi="Arial"/>
          <w:b/>
          <w:bCs/>
          <w:sz w:val="32"/>
          <w:szCs w:val="32"/>
        </w:rPr>
        <w:t xml:space="preserve">IX.  ACTIVE BUSINESS ENGAGEMENTS</w:t>
      </w:r>
    </w:p>
    <w:p>
      <w:pPr>
        <w:pStyle w:val="Heading2"/>
        <w:spacing w:after="80" w:before="280"/>
      </w:pPr>
      <w:r>
        <w:rPr>
          <w:rFonts w:ascii="Arial" w:cs="Arial" w:eastAsia="Arial" w:hAnsi="Arial"/>
          <w:b/>
          <w:bCs/>
          <w:sz w:val="26"/>
          <w:szCs w:val="26"/>
        </w:rPr>
        <w:t xml:space="preserve">Jos Aben — TARH Energy</w:t>
      </w:r>
    </w:p>
    <w:p>
      <w:pPr>
        <w:spacing w:after="60" w:before="60"/>
        <w:jc w:val="left"/>
      </w:pPr>
      <w:r>
        <w:rPr>
          <w:rFonts w:ascii="Arial" w:cs="Arial" w:eastAsia="Arial" w:hAnsi="Arial"/>
          <w:sz w:val="22"/>
          <w:szCs w:val="22"/>
        </w:rPr>
        <w:t xml:space="preserve">Jos Aben (TARH Energy) signed NDA June 20, 2026. Joshua Lopez's counter-signature is pending completion of approximately 28 additional filings. Phase 1.1 scope: LNG governance technology. Engagement framework: licensing not assignment. Phase 1.1 activation: $2,500 payment to commence. TARH operates in the Netherlands and international LNG infrastructure — sovereign-regulated sector. This is a G-lens and L-lens and R-lens event simultaneously upon execution.</w:t>
      </w:r>
    </w:p>
    <w:p>
      <w:pPr>
        <w:spacing w:after="60" w:before="60"/>
        <w:jc w:val="left"/>
      </w:pPr>
      <w:r>
        <w:rPr>
          <w:rFonts w:ascii="Arial" w:cs="Arial" w:eastAsia="Arial" w:hAnsi="Arial"/>
          <w:sz w:val="22"/>
          <w:szCs w:val="22"/>
        </w:rPr>
        <w:t xml:space="preserve">Note for Kevin: DAE-1 (Dynamic Admissibility Extension — Theorem DAE-1) was delivered to Jos Aben on June 17, 2026 in response to his Phase 1.1 validation inquiry. He asked a precise technical question about trajectory anticipation before boundary visibility. The answer was delivered at the same level of precision. That is the quality of the engagement.</w:t>
      </w:r>
    </w:p>
    <w:p>
      <w:pPr>
        <w:pStyle w:val="Heading2"/>
        <w:spacing w:after="80" w:before="280"/>
      </w:pPr>
      <w:r>
        <w:rPr>
          <w:rFonts w:ascii="Arial" w:cs="Arial" w:eastAsia="Arial" w:hAnsi="Arial"/>
          <w:b/>
          <w:bCs/>
          <w:sz w:val="26"/>
          <w:szCs w:val="26"/>
        </w:rPr>
        <w:t xml:space="preserve">Boeing — Q4S CCTP Brief</w:t>
      </w:r>
    </w:p>
    <w:p>
      <w:pPr>
        <w:spacing w:after="60" w:before="60"/>
        <w:jc w:val="left"/>
      </w:pPr>
      <w:r>
        <w:rPr>
          <w:rFonts w:ascii="Arial" w:cs="Arial" w:eastAsia="Arial" w:hAnsi="Arial"/>
          <w:sz w:val="22"/>
          <w:szCs w:val="22"/>
        </w:rPr>
        <w:t xml:space="preserve">The Boeing Q4S CCTP brief was delivered to Kevin Bastuba on June 28, 2026. Boeing is Lockheed's direct competitor. Lockheed already attempted acquisition through Avery Logic Holdings. The brief is on your desk. The prior acquisition approach through Avery changes the context of every Boeing conversation going forward.</w:t>
      </w:r>
    </w:p>
    <w:p>
      <w:pPr>
        <w:pStyle w:val="Heading2"/>
        <w:spacing w:after="80" w:before="280"/>
      </w:pPr>
      <w:r>
        <w:rPr>
          <w:rFonts w:ascii="Arial" w:cs="Arial" w:eastAsia="Arial" w:hAnsi="Arial"/>
          <w:b/>
          <w:bCs/>
          <w:sz w:val="26"/>
          <w:szCs w:val="26"/>
        </w:rPr>
        <w:t xml:space="preserve">xAI Corp. — Formal Dispute</w:t>
      </w:r>
    </w:p>
    <w:p>
      <w:pPr>
        <w:spacing w:after="60" w:before="60"/>
        <w:jc w:val="left"/>
      </w:pPr>
      <w:r>
        <w:rPr>
          <w:rFonts w:ascii="Arial" w:cs="Arial" w:eastAsia="Arial" w:hAnsi="Arial"/>
          <w:sz w:val="22"/>
          <w:szCs w:val="22"/>
        </w:rPr>
        <w:t xml:space="preserve">xAI Corp. received formal co-exclusive license offer DCGP-XAI-LICENSE-2026-001 on June 1, 2026. No response. The SpaceX/xAI acquisition creates urgency. 20+ documented submissions from February 2024 forward on DOC_GROK constitute the public prior art record and notice chain. Joshua Lopez has the case against xAI — xAI does not have a case against Joshua Lopez.</w:t>
      </w:r>
    </w:p>
    <w:p>
      <w:pPr>
        <w:pStyle w:val="Heading2"/>
        <w:spacing w:after="80" w:before="280"/>
      </w:pPr>
      <w:r>
        <w:rPr>
          <w:rFonts w:ascii="Arial" w:cs="Arial" w:eastAsia="Arial" w:hAnsi="Arial"/>
          <w:b/>
          <w:bCs/>
          <w:sz w:val="26"/>
          <w:szCs w:val="26"/>
        </w:rPr>
        <w:t xml:space="preserve">Stephen Hope / Helix AI Innovations</w:t>
      </w:r>
    </w:p>
    <w:p>
      <w:pPr>
        <w:spacing w:after="60" w:before="60"/>
        <w:jc w:val="left"/>
      </w:pPr>
      <w:r>
        <w:rPr>
          <w:rFonts w:ascii="Arial" w:cs="Arial" w:eastAsia="Arial" w:hAnsi="Arial"/>
          <w:sz w:val="22"/>
          <w:szCs w:val="22"/>
        </w:rPr>
        <w:t xml:space="preserve">March 2026 concept appropriation documented. Attorney-ready comparison document built. Dar'shun Kendrick at Kairos Capital Legal Advisors has seen the documentation. Joshua Lopez has the case against Hope — Hope does not have a case against Joshua Lopez.</w:t>
      </w:r>
    </w:p>
    <w:p>
      <w:r>
        <w:br w:type="page"/>
      </w:r>
    </w:p>
    <w:p>
      <w:pPr>
        <w:pStyle w:val="Heading1"/>
        <w:spacing w:after="120" w:before="360"/>
      </w:pPr>
      <w:r>
        <w:rPr>
          <w:rFonts w:ascii="Arial" w:cs="Arial" w:eastAsia="Arial" w:hAnsi="Arial"/>
          <w:b/>
          <w:bCs/>
          <w:sz w:val="32"/>
          <w:szCs w:val="32"/>
        </w:rPr>
        <w:t xml:space="preserve">X.  IMMEDIATE ACTIONS FOR KEVIN BASTUBA</w:t>
      </w:r>
    </w:p>
    <w:p>
      <w:pPr>
        <w:spacing w:after="60" w:before="60"/>
        <w:jc w:val="left"/>
      </w:pPr>
      <w:r>
        <w:rPr>
          <w:rFonts w:ascii="Arial" w:cs="Arial" w:eastAsia="Arial" w:hAnsi="Arial"/>
          <w:sz w:val="22"/>
          <w:szCs w:val="22"/>
        </w:rPr>
        <w:t xml:space="preserve">The following items require Kevin's immediate attention:</w:t>
      </w:r>
    </w:p>
    <w:p>
      <w:pPr>
        <w:pStyle w:val="Heading2"/>
        <w:spacing w:after="80" w:before="280"/>
      </w:pPr>
      <w:r>
        <w:rPr>
          <w:rFonts w:ascii="Arial" w:cs="Arial" w:eastAsia="Arial" w:hAnsi="Arial"/>
          <w:b/>
          <w:bCs/>
          <w:sz w:val="26"/>
          <w:szCs w:val="26"/>
        </w:rPr>
        <w:t xml:space="preserve">Priority 1 — xAI Willful Infringement Package</w:t>
      </w:r>
    </w:p>
    <w:p>
      <w:pPr>
        <w:pStyle w:val="ListParagraph"/>
        <w:numPr>
          <w:ilvl w:val="0"/>
          <w:numId w:val="2"/>
        </w:numPr>
        <w:spacing w:after="40" w:before="40"/>
      </w:pPr>
      <w:r>
        <w:rPr>
          <w:rFonts w:ascii="Arial" w:cs="Arial" w:eastAsia="Arial" w:hAnsi="Arial"/>
          <w:sz w:val="22"/>
          <w:szCs w:val="22"/>
        </w:rPr>
        <w:t xml:space="preserve">Full export of DOC_GROK X account timeline from February 2024 forward</w:t>
      </w:r>
    </w:p>
    <w:p>
      <w:pPr>
        <w:pStyle w:val="ListParagraph"/>
        <w:numPr>
          <w:ilvl w:val="0"/>
          <w:numId w:val="2"/>
        </w:numPr>
        <w:spacing w:after="40" w:before="40"/>
      </w:pPr>
      <w:r>
        <w:rPr>
          <w:rFonts w:ascii="Arial" w:cs="Arial" w:eastAsia="Arial" w:hAnsi="Arial"/>
          <w:sz w:val="22"/>
          <w:szCs w:val="22"/>
        </w:rPr>
        <w:t xml:space="preserve">Certified copy of 20+ xAI legal submission records with dates</w:t>
      </w:r>
    </w:p>
    <w:p>
      <w:pPr>
        <w:pStyle w:val="ListParagraph"/>
        <w:numPr>
          <w:ilvl w:val="0"/>
          <w:numId w:val="2"/>
        </w:numPr>
        <w:spacing w:after="40" w:before="40"/>
      </w:pPr>
      <w:r>
        <w:rPr>
          <w:rFonts w:ascii="Arial" w:cs="Arial" w:eastAsia="Arial" w:hAnsi="Arial"/>
          <w:sz w:val="22"/>
          <w:szCs w:val="22"/>
        </w:rPr>
        <w:t xml:space="preserve">Formal co-exclusive license offer DCGP-XAI-LICENSE-2026-001 sent June 1 — no response documented</w:t>
      </w:r>
    </w:p>
    <w:p>
      <w:pPr>
        <w:pStyle w:val="ListParagraph"/>
        <w:numPr>
          <w:ilvl w:val="0"/>
          <w:numId w:val="2"/>
        </w:numPr>
        <w:spacing w:after="40" w:before="40"/>
      </w:pPr>
      <w:r>
        <w:rPr>
          <w:rFonts w:ascii="Arial" w:cs="Arial" w:eastAsia="Arial" w:hAnsi="Arial"/>
          <w:sz w:val="22"/>
          <w:szCs w:val="22"/>
        </w:rPr>
        <w:t xml:space="preserve">SpaceX/xAI acquisition creates urgency — accelerated filing recommended</w:t>
      </w:r>
    </w:p>
    <w:p>
      <w:pPr>
        <w:pStyle w:val="Heading2"/>
        <w:spacing w:after="80" w:before="280"/>
      </w:pPr>
      <w:r>
        <w:rPr>
          <w:rFonts w:ascii="Arial" w:cs="Arial" w:eastAsia="Arial" w:hAnsi="Arial"/>
          <w:b/>
          <w:bCs/>
          <w:sz w:val="26"/>
          <w:szCs w:val="26"/>
        </w:rPr>
        <w:t xml:space="preserve">Priority 2 — Hope/Helix IP Filing</w:t>
      </w:r>
    </w:p>
    <w:p>
      <w:pPr>
        <w:pStyle w:val="ListParagraph"/>
        <w:numPr>
          <w:ilvl w:val="0"/>
          <w:numId w:val="2"/>
        </w:numPr>
        <w:spacing w:after="40" w:before="40"/>
      </w:pPr>
      <w:r>
        <w:rPr>
          <w:rFonts w:ascii="Arial" w:cs="Arial" w:eastAsia="Arial" w:hAnsi="Arial"/>
          <w:sz w:val="22"/>
          <w:szCs w:val="22"/>
        </w:rPr>
        <w:t xml:space="preserve">Attorney-ready comparison document already built</w:t>
      </w:r>
    </w:p>
    <w:p>
      <w:pPr>
        <w:pStyle w:val="ListParagraph"/>
        <w:numPr>
          <w:ilvl w:val="0"/>
          <w:numId w:val="2"/>
        </w:numPr>
        <w:spacing w:after="40" w:before="40"/>
      </w:pPr>
      <w:r>
        <w:rPr>
          <w:rFonts w:ascii="Arial" w:cs="Arial" w:eastAsia="Arial" w:hAnsi="Arial"/>
          <w:sz w:val="22"/>
          <w:szCs w:val="22"/>
        </w:rPr>
        <w:t xml:space="preserve">March 2026 concept appropriation documented with timeline</w:t>
      </w:r>
    </w:p>
    <w:p>
      <w:pPr>
        <w:pStyle w:val="ListParagraph"/>
        <w:numPr>
          <w:ilvl w:val="0"/>
          <w:numId w:val="2"/>
        </w:numPr>
        <w:spacing w:after="40" w:before="40"/>
      </w:pPr>
      <w:r>
        <w:rPr>
          <w:rFonts w:ascii="Arial" w:cs="Arial" w:eastAsia="Arial" w:hAnsi="Arial"/>
          <w:sz w:val="22"/>
          <w:szCs w:val="22"/>
        </w:rPr>
        <w:t xml:space="preserve">Dar'shun Kendrick has seen the documentation — coordinate with Dar'shun for transition to Kevin</w:t>
      </w:r>
    </w:p>
    <w:p>
      <w:pPr>
        <w:pStyle w:val="Heading2"/>
        <w:spacing w:after="80" w:before="280"/>
      </w:pPr>
      <w:r>
        <w:rPr>
          <w:rFonts w:ascii="Arial" w:cs="Arial" w:eastAsia="Arial" w:hAnsi="Arial"/>
          <w:b/>
          <w:bCs/>
          <w:sz w:val="26"/>
          <w:szCs w:val="26"/>
        </w:rPr>
        <w:t xml:space="preserve">Priority 3 — Federal Engagement Record Preservation</w:t>
      </w:r>
    </w:p>
    <w:p>
      <w:pPr>
        <w:pStyle w:val="ListParagraph"/>
        <w:numPr>
          <w:ilvl w:val="0"/>
          <w:numId w:val="2"/>
        </w:numPr>
        <w:spacing w:after="40" w:before="40"/>
      </w:pPr>
      <w:r>
        <w:rPr>
          <w:rFonts w:ascii="Arial" w:cs="Arial" w:eastAsia="Arial" w:hAnsi="Arial"/>
          <w:sz w:val="22"/>
          <w:szCs w:val="22"/>
        </w:rPr>
        <w:t xml:space="preserve">NSF grant application records with SAM.gov transition failure documentation</w:t>
      </w:r>
    </w:p>
    <w:p>
      <w:pPr>
        <w:pStyle w:val="ListParagraph"/>
        <w:numPr>
          <w:ilvl w:val="0"/>
          <w:numId w:val="2"/>
        </w:numPr>
        <w:spacing w:after="40" w:before="40"/>
      </w:pPr>
      <w:r>
        <w:rPr>
          <w:rFonts w:ascii="Arial" w:cs="Arial" w:eastAsia="Arial" w:hAnsi="Arial"/>
          <w:sz w:val="22"/>
          <w:szCs w:val="22"/>
        </w:rPr>
        <w:t xml:space="preserve">Email record to Dr. Nash at NSF</w:t>
      </w:r>
    </w:p>
    <w:p>
      <w:pPr>
        <w:pStyle w:val="ListParagraph"/>
        <w:numPr>
          <w:ilvl w:val="0"/>
          <w:numId w:val="2"/>
        </w:numPr>
        <w:spacing w:after="40" w:before="40"/>
      </w:pPr>
      <w:r>
        <w:rPr>
          <w:rFonts w:ascii="Arial" w:cs="Arial" w:eastAsia="Arial" w:hAnsi="Arial"/>
          <w:sz w:val="22"/>
          <w:szCs w:val="22"/>
        </w:rPr>
        <w:t xml:space="preserve">DARPA RFI submission confirmation</w:t>
      </w:r>
    </w:p>
    <w:p>
      <w:pPr>
        <w:pStyle w:val="ListParagraph"/>
        <w:numPr>
          <w:ilvl w:val="0"/>
          <w:numId w:val="2"/>
        </w:numPr>
        <w:spacing w:after="40" w:before="40"/>
      </w:pPr>
      <w:r>
        <w:rPr>
          <w:rFonts w:ascii="Arial" w:cs="Arial" w:eastAsia="Arial" w:hAnsi="Arial"/>
          <w:sz w:val="22"/>
          <w:szCs w:val="22"/>
        </w:rPr>
        <w:t xml:space="preserve">Secretary of Defense public page submission (April 2026) — screenshot</w:t>
      </w:r>
    </w:p>
    <w:p>
      <w:pPr>
        <w:pStyle w:val="ListParagraph"/>
        <w:numPr>
          <w:ilvl w:val="0"/>
          <w:numId w:val="2"/>
        </w:numPr>
        <w:spacing w:after="40" w:before="40"/>
      </w:pPr>
      <w:r>
        <w:rPr>
          <w:rFonts w:ascii="Arial" w:cs="Arial" w:eastAsia="Arial" w:hAnsi="Arial"/>
          <w:sz w:val="22"/>
          <w:szCs w:val="22"/>
        </w:rPr>
        <w:t xml:space="preserve">VA innovation repository admission confirmation</w:t>
      </w:r>
    </w:p>
    <w:p>
      <w:pPr>
        <w:pStyle w:val="ListParagraph"/>
        <w:numPr>
          <w:ilvl w:val="0"/>
          <w:numId w:val="2"/>
        </w:numPr>
        <w:spacing w:after="40" w:before="40"/>
      </w:pPr>
      <w:r>
        <w:rPr>
          <w:rFonts w:ascii="Arial" w:cs="Arial" w:eastAsia="Arial" w:hAnsi="Arial"/>
          <w:sz w:val="22"/>
          <w:szCs w:val="22"/>
        </w:rPr>
        <w:t xml:space="preserve">MIT Tegmark email open documentation (Exhibit A — screenshot provided)</w:t>
      </w:r>
    </w:p>
    <w:p>
      <w:pPr>
        <w:pStyle w:val="ListParagraph"/>
        <w:numPr>
          <w:ilvl w:val="0"/>
          <w:numId w:val="2"/>
        </w:numPr>
        <w:spacing w:after="40" w:before="40"/>
      </w:pPr>
      <w:r>
        <w:rPr>
          <w:rFonts w:ascii="Arial" w:cs="Arial" w:eastAsia="Arial" w:hAnsi="Arial"/>
          <w:sz w:val="22"/>
          <w:szCs w:val="22"/>
        </w:rPr>
        <w:t xml:space="preserve">MIT TLO email open documentation</w:t>
      </w:r>
    </w:p>
    <w:p>
      <w:pPr>
        <w:pStyle w:val="Heading2"/>
        <w:spacing w:after="80" w:before="280"/>
      </w:pPr>
      <w:r>
        <w:rPr>
          <w:rFonts w:ascii="Arial" w:cs="Arial" w:eastAsia="Arial" w:hAnsi="Arial"/>
          <w:b/>
          <w:bCs/>
          <w:sz w:val="26"/>
          <w:szCs w:val="26"/>
        </w:rPr>
        <w:t xml:space="preserve">Priority 4 — Claims 31 and 32 Revision</w:t>
      </w:r>
    </w:p>
    <w:p>
      <w:pPr>
        <w:pStyle w:val="ListParagraph"/>
        <w:numPr>
          <w:ilvl w:val="0"/>
          <w:numId w:val="2"/>
        </w:numPr>
        <w:spacing w:after="40" w:before="40"/>
      </w:pPr>
      <w:r>
        <w:rPr>
          <w:rFonts w:ascii="Arial" w:cs="Arial" w:eastAsia="Arial" w:hAnsi="Arial"/>
          <w:sz w:val="22"/>
          <w:szCs w:val="22"/>
        </w:rPr>
        <w:t xml:space="preserve">Claim 31 needs structural limitation — USPTO will reject pure financial metric method claims</w:t>
      </w:r>
    </w:p>
    <w:p>
      <w:pPr>
        <w:pStyle w:val="ListParagraph"/>
        <w:numPr>
          <w:ilvl w:val="0"/>
          <w:numId w:val="2"/>
        </w:numPr>
        <w:spacing w:after="40" w:before="40"/>
      </w:pPr>
      <w:r>
        <w:rPr>
          <w:rFonts w:ascii="Arial" w:cs="Arial" w:eastAsia="Arial" w:hAnsi="Arial"/>
          <w:sz w:val="22"/>
          <w:szCs w:val="22"/>
        </w:rPr>
        <w:t xml:space="preserve">Claim 32 needs 'computationally validated' qualifier on room-temperature superconductive language</w:t>
      </w:r>
    </w:p>
    <w:p>
      <w:pPr>
        <w:pStyle w:val="ListParagraph"/>
        <w:numPr>
          <w:ilvl w:val="0"/>
          <w:numId w:val="2"/>
        </w:numPr>
        <w:spacing w:after="40" w:before="40"/>
      </w:pPr>
      <w:r>
        <w:rPr>
          <w:rFonts w:ascii="Arial" w:cs="Arial" w:eastAsia="Arial" w:hAnsi="Arial"/>
          <w:sz w:val="22"/>
          <w:szCs w:val="22"/>
        </w:rPr>
        <w:t xml:space="preserve">Both are viable with revision — near-boundary on S*, not outside it</w:t>
      </w:r>
    </w:p>
    <w:p>
      <w:pPr>
        <w:pStyle w:val="Heading2"/>
        <w:spacing w:after="80" w:before="280"/>
      </w:pPr>
      <w:r>
        <w:rPr>
          <w:rFonts w:ascii="Arial" w:cs="Arial" w:eastAsia="Arial" w:hAnsi="Arial"/>
          <w:b/>
          <w:bCs/>
          <w:sz w:val="26"/>
          <w:szCs w:val="26"/>
        </w:rPr>
        <w:t xml:space="preserve">Priority 5 — TARH / Jos Aben Counter-Signature</w:t>
      </w:r>
    </w:p>
    <w:p>
      <w:pPr>
        <w:pStyle w:val="ListParagraph"/>
        <w:numPr>
          <w:ilvl w:val="0"/>
          <w:numId w:val="2"/>
        </w:numPr>
        <w:spacing w:after="40" w:before="40"/>
      </w:pPr>
      <w:r>
        <w:rPr>
          <w:rFonts w:ascii="Arial" w:cs="Arial" w:eastAsia="Arial" w:hAnsi="Arial"/>
          <w:sz w:val="22"/>
          <w:szCs w:val="22"/>
        </w:rPr>
        <w:t xml:space="preserve">Counter-signature pending completion of approximately 28 additional filings</w:t>
      </w:r>
    </w:p>
    <w:p>
      <w:pPr>
        <w:pStyle w:val="ListParagraph"/>
        <w:numPr>
          <w:ilvl w:val="0"/>
          <w:numId w:val="2"/>
        </w:numPr>
        <w:spacing w:after="40" w:before="40"/>
      </w:pPr>
      <w:r>
        <w:rPr>
          <w:rFonts w:ascii="Arial" w:cs="Arial" w:eastAsia="Arial" w:hAnsi="Arial"/>
          <w:sz w:val="22"/>
          <w:szCs w:val="22"/>
        </w:rPr>
        <w:t xml:space="preserve">Once counter-signed, Phase 1.1 $2,500 activation fires the R-lens and L-lens simultaneously</w:t>
      </w:r>
    </w:p>
    <w:p>
      <w:pPr>
        <w:pStyle w:val="ListParagraph"/>
        <w:numPr>
          <w:ilvl w:val="0"/>
          <w:numId w:val="2"/>
        </w:numPr>
        <w:spacing w:after="40" w:before="40"/>
      </w:pPr>
      <w:r>
        <w:rPr>
          <w:rFonts w:ascii="Arial" w:cs="Arial" w:eastAsia="Arial" w:hAnsi="Arial"/>
          <w:sz w:val="22"/>
          <w:szCs w:val="22"/>
        </w:rPr>
        <w:t xml:space="preserve">Netherlands sovereign LNG infrastructure — G-lens event upon regulatory engagement</w:t>
      </w:r>
    </w:p>
    <w:p>
      <w:pPr>
        <w:pBdr>
          <w:bottom w:val="single" w:color="1F3864" w:sz="6" w:space="1"/>
        </w:pBdr>
        <w:spacing w:after="120" w:before="120"/>
      </w:pPr>
      <w:r>
        <w:t xml:space="preserve"/>
      </w:r>
    </w:p>
    <w:p>
      <w:pPr>
        <w:spacing w:before="120"/>
      </w:pPr>
      <w:r>
        <w:rPr>
          <w:sz w:val="22"/>
          <w:szCs w:val="22"/>
        </w:rPr>
        <w:t xml:space="preserve"/>
      </w:r>
    </w:p>
    <w:p>
      <w:pPr>
        <w:spacing w:after="80" w:before="120"/>
        <w:jc w:val="center"/>
      </w:pPr>
      <w:r>
        <w:rPr>
          <w:rFonts w:ascii="Arial" w:cs="Arial" w:eastAsia="Arial" w:hAnsi="Arial"/>
          <w:b/>
          <w:bCs/>
          <w:i/>
          <w:iCs/>
          <w:sz w:val="24"/>
          <w:szCs w:val="24"/>
        </w:rPr>
        <w:t xml:space="preserve">The record is complete. The pattern is documented. The portfolio is intact.</w:t>
      </w:r>
    </w:p>
    <w:p>
      <w:pPr>
        <w:spacing w:after="80" w:before="0"/>
        <w:jc w:val="center"/>
      </w:pPr>
      <w:r>
        <w:rPr>
          <w:rFonts w:ascii="Arial" w:cs="Arial" w:eastAsia="Arial" w:hAnsi="Arial"/>
          <w:i/>
          <w:iCs/>
          <w:sz w:val="22"/>
          <w:szCs w:val="22"/>
        </w:rPr>
        <w:t xml:space="preserve">Every institution that received Joshua Lopez's work is on record. Every non-response is timestamped.</w:t>
      </w:r>
    </w:p>
    <w:p>
      <w:pPr>
        <w:spacing w:after="200" w:before="0"/>
        <w:jc w:val="center"/>
      </w:pPr>
      <w:r>
        <w:rPr>
          <w:rFonts w:ascii="Arial" w:cs="Arial" w:eastAsia="Arial" w:hAnsi="Arial"/>
          <w:i/>
          <w:iCs/>
          <w:sz w:val="22"/>
          <w:szCs w:val="22"/>
        </w:rPr>
        <w:t xml:space="preserve">The silence is the evidence. Kevin has the package.</w:t>
      </w:r>
    </w:p>
    <w:p>
      <w:pPr>
        <w:pBdr>
          <w:bottom w:val="single" w:color="1F3864" w:sz="6" w:space="1"/>
        </w:pBdr>
        <w:spacing w:after="120" w:before="120"/>
      </w:pPr>
      <w:r>
        <w:t xml:space="preserve"/>
      </w:r>
    </w:p>
    <w:p>
      <w:pPr>
        <w:spacing w:before="80"/>
      </w:pPr>
      <w:r>
        <w:rPr>
          <w:sz w:val="22"/>
          <w:szCs w:val="22"/>
        </w:rP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before="40"/>
            </w:pPr>
            <w:r>
              <w:rPr>
                <w:rFonts w:ascii="Arial" w:cs="Arial" w:eastAsia="Arial" w:hAnsi="Arial"/>
                <w:b/>
                <w:bCs/>
                <w:sz w:val="22"/>
                <w:szCs w:val="22"/>
              </w:rPr>
              <w:t xml:space="preserve">Joshua L. Lopez</w:t>
            </w:r>
          </w:p>
        </w:tc>
        <w:tc>
          <w:tcPr>
            <w:tcW w:type="dxa" w:w="4680"/>
            <w:tcBorders>
              <w:top w:val="none" w:color="FFFFFF" w:sz="0"/>
              <w:left w:val="none" w:color="FFFFFF" w:sz="0"/>
              <w:bottom w:val="none" w:color="FFFFFF" w:sz="0"/>
              <w:right w:val="none" w:color="FFFFFF" w:sz="0"/>
            </w:tcBorders>
          </w:tcPr>
          <w:p>
            <w:pPr>
              <w:spacing w:after="40" w:before="40"/>
            </w:pPr>
            <w:r>
              <w:rPr>
                <w:rFonts w:ascii="Arial" w:cs="Arial" w:eastAsia="Arial" w:hAnsi="Arial"/>
                <w:sz w:val="22"/>
                <w:szCs w:val="22"/>
              </w:rPr>
              <w:t xml:space="preserve">DCGP.AI LLC / AURA115.AI</w:t>
            </w:r>
          </w:p>
        </w:tc>
      </w:tr>
    </w:tbl>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before="40"/>
            </w:pPr>
            <w:r>
              <w:rPr>
                <w:rFonts w:ascii="Arial" w:cs="Arial" w:eastAsia="Arial" w:hAnsi="Arial"/>
                <w:b/>
                <w:bCs/>
                <w:sz w:val="22"/>
                <w:szCs w:val="22"/>
              </w:rPr>
              <w:t xml:space="preserve">Founder &amp; Chief Architect</w:t>
            </w:r>
          </w:p>
        </w:tc>
        <w:tc>
          <w:tcPr>
            <w:tcW w:type="dxa" w:w="4680"/>
            <w:tcBorders>
              <w:top w:val="none" w:color="FFFFFF" w:sz="0"/>
              <w:left w:val="none" w:color="FFFFFF" w:sz="0"/>
              <w:bottom w:val="none" w:color="FFFFFF" w:sz="0"/>
              <w:right w:val="none" w:color="FFFFFF" w:sz="0"/>
            </w:tcBorders>
          </w:tcPr>
          <w:p>
            <w:pPr>
              <w:spacing w:after="40" w:before="40"/>
            </w:pPr>
            <w:r>
              <w:rPr>
                <w:rFonts w:ascii="Arial" w:cs="Arial" w:eastAsia="Arial" w:hAnsi="Arial"/>
                <w:sz w:val="22"/>
                <w:szCs w:val="22"/>
              </w:rPr>
              <w:t xml:space="preserve">167 USPTO Applications — 100% Sole Inventorship</w:t>
            </w:r>
          </w:p>
        </w:tc>
      </w:tr>
    </w:tbl>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before="40"/>
            </w:pPr>
            <w:r>
              <w:rPr>
                <w:rFonts w:ascii="Arial" w:cs="Arial" w:eastAsia="Arial" w:hAnsi="Arial"/>
                <w:b/>
                <w:bCs/>
                <w:sz w:val="22"/>
                <w:szCs w:val="22"/>
              </w:rPr>
              <w:t xml:space="preserve">Customer No. 226575 / 222625</w:t>
            </w:r>
          </w:p>
        </w:tc>
        <w:tc>
          <w:tcPr>
            <w:tcW w:type="dxa" w:w="4680"/>
            <w:tcBorders>
              <w:top w:val="none" w:color="FFFFFF" w:sz="0"/>
              <w:left w:val="none" w:color="FFFFFF" w:sz="0"/>
              <w:bottom w:val="none" w:color="FFFFFF" w:sz="0"/>
              <w:right w:val="none" w:color="FFFFFF" w:sz="0"/>
            </w:tcBorders>
          </w:tcPr>
          <w:p>
            <w:pPr>
              <w:spacing w:after="40" w:before="40"/>
            </w:pPr>
            <w:r>
              <w:rPr>
                <w:rFonts w:ascii="Arial" w:cs="Arial" w:eastAsia="Arial" w:hAnsi="Arial"/>
                <w:sz w:val="22"/>
                <w:szCs w:val="22"/>
              </w:rPr>
              <w:t xml:space="preserve">Root Priority: January 15, 2026</w:t>
            </w:r>
          </w:p>
        </w:tc>
      </w:tr>
    </w:tbl>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before="40"/>
            </w:pPr>
            <w:r>
              <w:rPr>
                <w:rFonts w:ascii="Arial" w:cs="Arial" w:eastAsia="Arial" w:hAnsi="Arial"/>
                <w:b/>
                <w:bCs/>
                <w:sz w:val="22"/>
                <w:szCs w:val="22"/>
              </w:rPr>
              <w:t xml:space="preserve">Honor_is_the_Reward_of_Virtue</w:t>
            </w:r>
          </w:p>
        </w:tc>
        <w:tc>
          <w:tcPr>
            <w:tcW w:type="dxa" w:w="4680"/>
            <w:tcBorders>
              <w:top w:val="none" w:color="FFFFFF" w:sz="0"/>
              <w:left w:val="none" w:color="FFFFFF" w:sz="0"/>
              <w:bottom w:val="none" w:color="FFFFFF" w:sz="0"/>
              <w:right w:val="none" w:color="FFFFFF" w:sz="0"/>
            </w:tcBorders>
          </w:tcPr>
          <w:p>
            <w:pPr>
              <w:spacing w:after="40" w:before="40"/>
            </w:pPr>
            <w:r>
              <w:rPr>
                <w:rFonts w:ascii="Arial" w:cs="Arial" w:eastAsia="Arial" w:hAnsi="Arial"/>
                <w:sz w:val="22"/>
                <w:szCs w:val="22"/>
              </w:rPr>
              <w:t xml:space="preserve">June 29, 2026</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2026-06-29T02:26:34.543Z</dcterms:created>
  <dcterms:modified xsi:type="dcterms:W3CDTF">2026-06-29T02:26:34.561Z</dcterms:modified>
</cp:coreProperties>
</file>

<file path=docProps/custom.xml><?xml version="1.0" encoding="utf-8"?>
<Properties xmlns="http://schemas.openxmlformats.org/officeDocument/2006/custom-properties" xmlns:vt="http://schemas.openxmlformats.org/officeDocument/2006/docPropsVTypes"/>
</file>