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
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3C71" w:rsidRDefault="00991202">
      <w:pPr>
        <w:suppressAutoHyphens/>
        <w:jc w:val="center"/>
        <w:rPr>
          <w:b/>
          <w:bCs/>
          <w:lang w:eastAsia="lt-LT"/>
        </w:rPr>
      </w:pPr>
      <w:r>
        <w:rPr>
          <w:noProof/>
          <w:lang w:eastAsia="lt-LT"/>
        </w:rPr>
        <w:drawing>
          <wp:inline distT="0" distB="0" distL="0" distR="0" wp14:anchorId="54948CD2" wp14:editId="61EB2E5A">
            <wp:extent cx="520700" cy="622300"/>
            <wp:effectExtent l="19050" t="0" r="0" b="0"/>
            <wp:docPr id="1" name="Picture 1" descr="HERB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ERB2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" cy="62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3C71" w:rsidRDefault="00F03C71">
      <w:pPr>
        <w:rPr>
          <w:sz w:val="10"/>
          <w:szCs w:val="10"/>
        </w:rPr>
      </w:pPr>
    </w:p>
    <w:p w:rsidR="00F03C71" w:rsidRDefault="00991202">
      <w:pPr>
        <w:suppressAutoHyphens/>
        <w:jc w:val="center"/>
        <w:rPr>
          <w:b/>
          <w:bCs/>
          <w:lang w:eastAsia="lt-LT"/>
        </w:rPr>
      </w:pPr>
      <w:r>
        <w:rPr>
          <w:b/>
          <w:bCs/>
          <w:lang w:eastAsia="lt-LT"/>
        </w:rPr>
        <w:t>LIETUVOS RESPUBLIKOS APLINKOS MINISTRAS</w:t>
      </w:r>
    </w:p>
    <w:p w:rsidR="00F03C71" w:rsidRDefault="00F03C71">
      <w:pPr>
        <w:suppressAutoHyphens/>
        <w:jc w:val="center"/>
        <w:rPr>
          <w:b/>
          <w:bCs/>
          <w:lang w:eastAsia="lt-LT"/>
        </w:rPr>
      </w:pPr>
    </w:p>
    <w:p w:rsidR="00F03C71" w:rsidRDefault="00991202">
      <w:pPr>
        <w:suppressAutoHyphens/>
        <w:jc w:val="center"/>
        <w:rPr>
          <w:b/>
          <w:bCs/>
          <w:lang w:eastAsia="lt-LT"/>
        </w:rPr>
      </w:pPr>
      <w:r>
        <w:rPr>
          <w:b/>
          <w:bCs/>
          <w:lang w:eastAsia="lt-LT"/>
        </w:rPr>
        <w:t>ĮSAKYMAS</w:t>
      </w:r>
    </w:p>
    <w:p w:rsidR="00F03C71" w:rsidRDefault="00991202">
      <w:pPr>
        <w:suppressAutoHyphens/>
        <w:jc w:val="center"/>
        <w:textAlignment w:val="center"/>
        <w:rPr>
          <w:b/>
          <w:bCs/>
          <w:caps/>
          <w:color w:val="000000"/>
          <w:szCs w:val="24"/>
          <w:lang w:eastAsia="lt-LT"/>
        </w:rPr>
      </w:pPr>
      <w:r>
        <w:rPr>
          <w:b/>
          <w:bCs/>
          <w:color w:val="000000"/>
          <w:szCs w:val="24"/>
          <w:lang w:eastAsia="lt-LT"/>
        </w:rPr>
        <w:t xml:space="preserve">DĖL </w:t>
      </w:r>
      <w:r>
        <w:rPr>
          <w:b/>
          <w:bCs/>
          <w:caps/>
          <w:color w:val="000000"/>
          <w:szCs w:val="24"/>
          <w:lang w:eastAsia="lt-LT"/>
        </w:rPr>
        <w:t xml:space="preserve">LIETUVOS RESPUBLIKOS </w:t>
      </w:r>
      <w:r>
        <w:rPr>
          <w:b/>
          <w:bCs/>
          <w:color w:val="000000"/>
          <w:szCs w:val="24"/>
          <w:lang w:eastAsia="lt-LT"/>
        </w:rPr>
        <w:t xml:space="preserve">APLINKOS MINISTRO </w:t>
      </w:r>
      <w:r>
        <w:rPr>
          <w:b/>
          <w:bCs/>
          <w:caps/>
          <w:color w:val="000000"/>
          <w:szCs w:val="24"/>
          <w:lang w:eastAsia="lt-LT"/>
        </w:rPr>
        <w:t xml:space="preserve">2006 m. gegužės 17 d. įsakymo Nr. D1-236 „Dėl NUOTEKŲ tvarkymo reglamento patvirtinimo“ pakeitimo </w:t>
      </w:r>
    </w:p>
    <w:p w:rsidR="00F03C71" w:rsidRDefault="00F03C71">
      <w:pPr>
        <w:suppressAutoHyphens/>
        <w:jc w:val="center"/>
        <w:rPr>
          <w:b/>
          <w:lang w:eastAsia="lt-LT"/>
        </w:rPr>
      </w:pPr>
    </w:p>
    <w:p w:rsidR="00991202" w:rsidRDefault="00991202">
      <w:pPr>
        <w:suppressAutoHyphens/>
        <w:jc w:val="center"/>
        <w:rPr>
          <w:color w:val="000000"/>
        </w:rPr>
      </w:pPr>
      <w:r>
        <w:rPr>
          <w:color w:val="00000A"/>
        </w:rPr>
        <w:t>2022 m. balandžio 22 d. </w:t>
      </w:r>
      <w:r>
        <w:rPr>
          <w:color w:val="000000"/>
        </w:rPr>
        <w:t>Nr. D1-109</w:t>
      </w:r>
    </w:p>
    <w:p w:rsidR="00F03C71" w:rsidRDefault="00991202">
      <w:pPr>
        <w:suppressAutoHyphens/>
        <w:jc w:val="center"/>
        <w:rPr>
          <w:lang w:eastAsia="lt-LT"/>
        </w:rPr>
      </w:pPr>
      <w:r>
        <w:rPr>
          <w:lang w:eastAsia="lt-LT"/>
        </w:rPr>
        <w:t>Vilnius</w:t>
      </w:r>
      <w:r>
        <w:rPr>
          <w:lang w:eastAsia="lt-LT"/>
        </w:rPr>
        <w:br/>
      </w:r>
    </w:p>
    <w:p w:rsidR="00F03C71" w:rsidRDefault="00F03C71">
      <w:pPr>
        <w:suppressAutoHyphens/>
        <w:jc w:val="center"/>
        <w:rPr>
          <w:lang w:eastAsia="lt-LT"/>
        </w:rPr>
      </w:pPr>
    </w:p>
    <w:p w:rsidR="00F03C71" w:rsidRDefault="003B006C">
      <w:pPr>
        <w:tabs>
          <w:tab w:val="left" w:pos="0"/>
          <w:tab w:val="left" w:pos="56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line="276" w:lineRule="auto"/>
        <w:ind w:firstLine="567"/>
        <w:jc w:val="both"/>
        <w:rPr>
          <w:lang w:eastAsia="lt-LT"/>
        </w:rPr>
      </w:pPr>
      <w:r w:rsidR="00991202">
        <w:rPr>
          <w:rFonts w:eastAsia="Calibri"/>
          <w:spacing w:val="40"/>
          <w:szCs w:val="24"/>
          <w:lang w:eastAsia="lt-LT"/>
        </w:rPr>
        <w:t>1</w:t>
      </w:r>
      <w:r w:rsidR="00991202">
        <w:rPr>
          <w:rFonts w:eastAsia="Calibri"/>
          <w:spacing w:val="40"/>
          <w:szCs w:val="24"/>
          <w:lang w:eastAsia="lt-LT"/>
        </w:rPr>
        <w:t xml:space="preserve">.Pakeičiu </w:t>
      </w:r>
      <w:r w:rsidR="00991202">
        <w:rPr>
          <w:lang w:eastAsia="lt-LT"/>
        </w:rPr>
        <w:t>Lietuvos</w:t>
      </w:r>
      <w:r>
        <w:rPr>
          <w:lang w:eastAsia="lt-LT"/>
        </w:rPr>
        <w:t xml:space="preserve"> </w:t>
      </w:r>
      <w:r w:rsidR="00991202">
        <w:rPr>
          <w:lang w:eastAsia="lt-LT"/>
        </w:rPr>
        <w:t>Respublikos</w:t>
      </w:r>
      <w:r>
        <w:rPr>
          <w:lang w:eastAsia="lt-LT"/>
        </w:rPr>
        <w:t xml:space="preserve"> </w:t>
      </w:r>
      <w:r w:rsidR="00991202">
        <w:rPr>
          <w:lang w:eastAsia="lt-LT"/>
        </w:rPr>
        <w:t>aplinkos</w:t>
      </w:r>
      <w:r>
        <w:rPr>
          <w:lang w:eastAsia="lt-LT"/>
        </w:rPr>
        <w:t xml:space="preserve"> </w:t>
      </w:r>
      <w:r w:rsidR="00991202">
        <w:rPr>
          <w:lang w:eastAsia="lt-LT"/>
        </w:rPr>
        <w:t>ministro 2006</w:t>
      </w:r>
      <w:r>
        <w:rPr>
          <w:lang w:eastAsia="lt-LT"/>
        </w:rPr>
        <w:t xml:space="preserve"> </w:t>
      </w:r>
      <w:r w:rsidR="00991202">
        <w:rPr>
          <w:lang w:eastAsia="lt-LT"/>
        </w:rPr>
        <w:t>m.</w:t>
      </w:r>
      <w:r>
        <w:rPr>
          <w:lang w:eastAsia="lt-LT"/>
        </w:rPr>
        <w:t xml:space="preserve"> </w:t>
      </w:r>
      <w:r w:rsidR="00991202">
        <w:rPr>
          <w:lang w:eastAsia="lt-LT"/>
        </w:rPr>
        <w:t>gegužės 17</w:t>
      </w:r>
      <w:r>
        <w:rPr>
          <w:lang w:eastAsia="lt-LT"/>
        </w:rPr>
        <w:t xml:space="preserve"> </w:t>
      </w:r>
      <w:r w:rsidR="00991202">
        <w:rPr>
          <w:lang w:eastAsia="lt-LT"/>
        </w:rPr>
        <w:t>d.</w:t>
      </w:r>
      <w:r>
        <w:rPr>
          <w:lang w:eastAsia="lt-LT"/>
        </w:rPr>
        <w:t xml:space="preserve"> </w:t>
      </w:r>
      <w:r w:rsidR="00991202">
        <w:rPr>
          <w:lang w:eastAsia="lt-LT"/>
        </w:rPr>
        <w:t>įsakymą</w:t>
      </w:r>
      <w:r>
        <w:rPr>
          <w:lang w:eastAsia="lt-LT"/>
        </w:rPr>
        <w:t xml:space="preserve"> </w:t>
      </w:r>
      <w:r w:rsidR="00991202">
        <w:rPr>
          <w:lang w:eastAsia="lt-LT"/>
        </w:rPr>
        <w:t>Nr. D1-236 „Dėl Nuotekų tvarkymo reglamento patvirtinimo“:</w:t>
      </w:r>
    </w:p>
    <w:p w:rsidR="00F03C71" w:rsidRDefault="003B006C">
      <w:pPr>
        <w:tabs>
          <w:tab w:val="left" w:pos="993"/>
        </w:tabs>
        <w:suppressAutoHyphens/>
        <w:ind w:left="720" w:hanging="153"/>
        <w:jc w:val="both"/>
        <w:rPr>
          <w:color w:val="000000"/>
          <w:lang w:eastAsia="lt-LT"/>
        </w:rPr>
      </w:pPr>
      <w:r w:rsidR="00991202">
        <w:rPr>
          <w:lang w:eastAsia="lt-LT"/>
        </w:rPr>
        <w:t>1.1</w:t>
      </w:r>
      <w:r w:rsidR="00991202">
        <w:rPr>
          <w:lang w:eastAsia="lt-LT"/>
        </w:rPr>
        <w:t>.</w:t>
      </w:r>
      <w:r w:rsidR="00991202">
        <w:rPr>
          <w:lang w:eastAsia="lt-LT"/>
        </w:rPr>
        <w:tab/>
        <w:t xml:space="preserve"> Pakeičiu </w:t>
      </w:r>
      <w:r w:rsidR="00991202">
        <w:rPr>
          <w:color w:val="000000"/>
          <w:lang w:eastAsia="lt-LT"/>
        </w:rPr>
        <w:t>preambulę ir ją išdėstau taip:</w:t>
      </w:r>
    </w:p>
    <w:p w:rsidR="00F03C71" w:rsidRDefault="00991202">
      <w:pPr>
        <w:widowControl w:val="0"/>
        <w:suppressAutoHyphens/>
        <w:ind w:firstLine="567"/>
        <w:jc w:val="both"/>
        <w:rPr>
          <w:rFonts w:eastAsia="Arial Unicode MS"/>
          <w:kern w:val="2"/>
          <w:szCs w:val="24"/>
          <w:lang w:eastAsia="lt-LT"/>
        </w:rPr>
      </w:pPr>
      <w:r>
        <w:rPr>
          <w:rFonts w:eastAsia="Arial Unicode MS"/>
          <w:color w:val="000000"/>
          <w:kern w:val="2"/>
          <w:szCs w:val="24"/>
          <w:lang w:eastAsia="lt-LT"/>
        </w:rPr>
        <w:t xml:space="preserve">„Vadovaudamasis Lietuvos Respublikos aplinkos apsaugos įstatymo 6 straipsnio 5 dalies 4 ir 8 punktais, Lietuvos Respublikos vandens įstatymo 18 straipsniu ir įgyvendindamas 1991 m. gegužės 21 d. Tarybos direktyvos 91/271/EEB dėl miesto nuotekų valymo su </w:t>
      </w:r>
      <w:r>
        <w:rPr>
          <w:rFonts w:eastAsia="Arial Unicode MS"/>
          <w:color w:val="000000"/>
          <w:spacing w:val="4"/>
          <w:kern w:val="2"/>
          <w:szCs w:val="24"/>
          <w:lang w:eastAsia="lt-LT"/>
        </w:rPr>
        <w:t>paskutiniais pakeitimais, padarytais</w:t>
      </w:r>
      <w:r w:rsidR="003B006C">
        <w:rPr>
          <w:rFonts w:eastAsia="Arial Unicode MS"/>
          <w:color w:val="000000"/>
          <w:spacing w:val="4"/>
          <w:kern w:val="2"/>
          <w:szCs w:val="24"/>
          <w:lang w:eastAsia="lt-LT"/>
        </w:rPr>
        <w:t xml:space="preserve"> </w:t>
      </w:r>
      <w:r>
        <w:rPr>
          <w:rFonts w:eastAsia="Arial Unicode MS"/>
          <w:kern w:val="2"/>
          <w:szCs w:val="24"/>
          <w:lang w:eastAsia="lt-LT"/>
        </w:rPr>
        <w:t>2008</w:t>
      </w:r>
      <w:r w:rsidR="003B006C">
        <w:rPr>
          <w:rFonts w:eastAsia="Arial Unicode MS"/>
          <w:kern w:val="2"/>
          <w:szCs w:val="24"/>
          <w:lang w:eastAsia="lt-LT"/>
        </w:rPr>
        <w:t xml:space="preserve"> </w:t>
      </w:r>
      <w:r>
        <w:rPr>
          <w:rFonts w:eastAsia="Arial Unicode MS"/>
          <w:kern w:val="2"/>
          <w:szCs w:val="24"/>
          <w:lang w:eastAsia="lt-LT"/>
        </w:rPr>
        <w:t>m. spalio</w:t>
      </w:r>
      <w:r w:rsidR="003B006C">
        <w:rPr>
          <w:rFonts w:eastAsia="Arial Unicode MS"/>
          <w:kern w:val="2"/>
          <w:szCs w:val="24"/>
          <w:lang w:eastAsia="lt-LT"/>
        </w:rPr>
        <w:t xml:space="preserve"> </w:t>
      </w:r>
      <w:r>
        <w:rPr>
          <w:rFonts w:eastAsia="Arial Unicode MS"/>
          <w:kern w:val="2"/>
          <w:szCs w:val="24"/>
          <w:lang w:eastAsia="lt-LT"/>
        </w:rPr>
        <w:t>22</w:t>
      </w:r>
      <w:r w:rsidR="003B006C">
        <w:rPr>
          <w:rFonts w:eastAsia="Arial Unicode MS"/>
          <w:kern w:val="2"/>
          <w:szCs w:val="24"/>
          <w:lang w:eastAsia="lt-LT"/>
        </w:rPr>
        <w:t xml:space="preserve"> </w:t>
      </w:r>
      <w:r>
        <w:rPr>
          <w:rFonts w:eastAsia="Arial Unicode MS"/>
          <w:kern w:val="2"/>
          <w:szCs w:val="24"/>
          <w:lang w:eastAsia="lt-LT"/>
        </w:rPr>
        <w:t>d. Europos</w:t>
      </w:r>
      <w:r w:rsidR="003B006C">
        <w:rPr>
          <w:rFonts w:eastAsia="Arial Unicode MS"/>
          <w:kern w:val="2"/>
          <w:szCs w:val="24"/>
          <w:lang w:eastAsia="lt-LT"/>
        </w:rPr>
        <w:t xml:space="preserve"> </w:t>
      </w:r>
      <w:r>
        <w:rPr>
          <w:rFonts w:eastAsia="Arial Unicode MS"/>
          <w:kern w:val="2"/>
          <w:szCs w:val="24"/>
          <w:lang w:eastAsia="lt-LT"/>
        </w:rPr>
        <w:t>Parlamento</w:t>
      </w:r>
      <w:r w:rsidR="003B006C">
        <w:rPr>
          <w:rFonts w:eastAsia="Arial Unicode MS"/>
          <w:kern w:val="2"/>
          <w:szCs w:val="24"/>
          <w:lang w:eastAsia="lt-LT"/>
        </w:rPr>
        <w:t xml:space="preserve"> </w:t>
      </w:r>
      <w:r>
        <w:rPr>
          <w:rFonts w:eastAsia="Arial Unicode MS"/>
          <w:kern w:val="2"/>
          <w:szCs w:val="24"/>
          <w:lang w:eastAsia="lt-LT"/>
        </w:rPr>
        <w:t>ir</w:t>
      </w:r>
      <w:r w:rsidR="003B006C">
        <w:rPr>
          <w:rFonts w:eastAsia="Arial Unicode MS"/>
          <w:kern w:val="2"/>
          <w:szCs w:val="24"/>
          <w:lang w:eastAsia="lt-LT"/>
        </w:rPr>
        <w:t xml:space="preserve"> </w:t>
      </w:r>
      <w:r>
        <w:rPr>
          <w:rFonts w:eastAsia="Arial Unicode MS"/>
          <w:kern w:val="2"/>
          <w:szCs w:val="24"/>
          <w:lang w:eastAsia="lt-LT"/>
        </w:rPr>
        <w:t>Tarybos reglamentu (EB) Nr. 1137/2008</w:t>
      </w:r>
      <w:r>
        <w:rPr>
          <w:rFonts w:eastAsia="Arial Unicode MS"/>
          <w:color w:val="000000"/>
          <w:kern w:val="2"/>
          <w:szCs w:val="24"/>
          <w:lang w:eastAsia="lt-LT"/>
        </w:rPr>
        <w:t xml:space="preserve">, </w:t>
      </w:r>
      <w:r>
        <w:rPr>
          <w:rFonts w:eastAsia="Arial Unicode MS"/>
          <w:kern w:val="2"/>
          <w:szCs w:val="24"/>
          <w:lang w:eastAsia="lt-LT"/>
        </w:rPr>
        <w:t>2006</w:t>
      </w:r>
      <w:r w:rsidR="003B006C">
        <w:rPr>
          <w:rFonts w:eastAsia="Arial Unicode MS"/>
          <w:kern w:val="2"/>
          <w:szCs w:val="24"/>
          <w:lang w:eastAsia="lt-LT"/>
        </w:rPr>
        <w:t xml:space="preserve"> </w:t>
      </w:r>
      <w:r>
        <w:rPr>
          <w:rFonts w:eastAsia="Arial Unicode MS"/>
          <w:kern w:val="2"/>
          <w:szCs w:val="24"/>
          <w:lang w:eastAsia="lt-LT"/>
        </w:rPr>
        <w:t>m.</w:t>
      </w:r>
      <w:r w:rsidR="003B006C">
        <w:rPr>
          <w:rFonts w:eastAsia="Arial Unicode MS"/>
          <w:kern w:val="2"/>
          <w:szCs w:val="24"/>
          <w:lang w:eastAsia="lt-LT"/>
        </w:rPr>
        <w:t xml:space="preserve"> </w:t>
      </w:r>
      <w:r>
        <w:rPr>
          <w:rFonts w:eastAsia="Arial Unicode MS"/>
          <w:kern w:val="2"/>
          <w:szCs w:val="24"/>
          <w:lang w:eastAsia="lt-LT"/>
        </w:rPr>
        <w:t>balandžio</w:t>
      </w:r>
      <w:r w:rsidR="003B006C">
        <w:rPr>
          <w:rFonts w:eastAsia="Arial Unicode MS"/>
          <w:kern w:val="2"/>
          <w:szCs w:val="24"/>
          <w:lang w:eastAsia="lt-LT"/>
        </w:rPr>
        <w:t xml:space="preserve"> </w:t>
      </w:r>
      <w:r>
        <w:rPr>
          <w:rFonts w:eastAsia="Arial Unicode MS"/>
          <w:kern w:val="2"/>
          <w:szCs w:val="24"/>
          <w:lang w:eastAsia="lt-LT"/>
        </w:rPr>
        <w:t>11</w:t>
      </w:r>
      <w:r w:rsidR="003B006C">
        <w:rPr>
          <w:rFonts w:eastAsia="Arial Unicode MS"/>
          <w:kern w:val="2"/>
          <w:szCs w:val="24"/>
          <w:lang w:eastAsia="lt-LT"/>
        </w:rPr>
        <w:t xml:space="preserve"> </w:t>
      </w:r>
      <w:r>
        <w:rPr>
          <w:rFonts w:eastAsia="Arial Unicode MS"/>
          <w:kern w:val="2"/>
          <w:szCs w:val="24"/>
          <w:lang w:eastAsia="lt-LT"/>
        </w:rPr>
        <w:t>d.</w:t>
      </w:r>
      <w:r w:rsidR="003B006C">
        <w:rPr>
          <w:rFonts w:eastAsia="Arial Unicode MS"/>
          <w:kern w:val="2"/>
          <w:szCs w:val="24"/>
          <w:lang w:eastAsia="lt-LT"/>
        </w:rPr>
        <w:t xml:space="preserve"> </w:t>
      </w:r>
      <w:r>
        <w:rPr>
          <w:rFonts w:eastAsia="Arial Unicode MS"/>
          <w:kern w:val="2"/>
          <w:szCs w:val="24"/>
          <w:lang w:eastAsia="lt-LT"/>
        </w:rPr>
        <w:t>Komisijos</w:t>
      </w:r>
      <w:r w:rsidR="003B006C">
        <w:rPr>
          <w:rFonts w:eastAsia="Arial Unicode MS"/>
          <w:kern w:val="2"/>
          <w:szCs w:val="24"/>
          <w:lang w:eastAsia="lt-LT"/>
        </w:rPr>
        <w:t xml:space="preserve"> </w:t>
      </w:r>
      <w:r>
        <w:rPr>
          <w:rFonts w:eastAsia="Arial Unicode MS"/>
          <w:kern w:val="2"/>
          <w:szCs w:val="24"/>
          <w:lang w:eastAsia="lt-LT"/>
        </w:rPr>
        <w:t>rekomendacijų</w:t>
      </w:r>
      <w:r w:rsidR="003B006C">
        <w:rPr>
          <w:rFonts w:eastAsia="Arial Unicode MS"/>
          <w:kern w:val="2"/>
          <w:szCs w:val="24"/>
          <w:lang w:eastAsia="lt-LT"/>
        </w:rPr>
        <w:t xml:space="preserve"> </w:t>
      </w:r>
      <w:r>
        <w:rPr>
          <w:rFonts w:eastAsia="Arial Unicode MS"/>
          <w:kern w:val="2"/>
          <w:szCs w:val="24"/>
          <w:lang w:eastAsia="lt-LT"/>
        </w:rPr>
        <w:t>dėl</w:t>
      </w:r>
      <w:r w:rsidR="003B006C">
        <w:rPr>
          <w:rFonts w:eastAsia="Arial Unicode MS"/>
          <w:kern w:val="2"/>
          <w:szCs w:val="24"/>
          <w:lang w:eastAsia="lt-LT"/>
        </w:rPr>
        <w:t xml:space="preserve"> </w:t>
      </w:r>
      <w:r>
        <w:rPr>
          <w:rFonts w:eastAsia="Arial Unicode MS"/>
          <w:kern w:val="2"/>
          <w:szCs w:val="24"/>
          <w:lang w:eastAsia="lt-LT"/>
        </w:rPr>
        <w:t>cheminių</w:t>
      </w:r>
      <w:r w:rsidR="003B006C">
        <w:rPr>
          <w:rFonts w:eastAsia="Arial Unicode MS"/>
          <w:kern w:val="2"/>
          <w:szCs w:val="24"/>
          <w:lang w:eastAsia="lt-LT"/>
        </w:rPr>
        <w:t xml:space="preserve"> </w:t>
      </w:r>
      <w:r>
        <w:rPr>
          <w:rFonts w:eastAsia="Arial Unicode MS"/>
          <w:spacing w:val="-4"/>
          <w:kern w:val="2"/>
          <w:szCs w:val="24"/>
          <w:lang w:eastAsia="lt-LT"/>
        </w:rPr>
        <w:t>medžiagų</w:t>
      </w:r>
      <w:r w:rsidR="003B006C">
        <w:rPr>
          <w:rFonts w:eastAsia="Arial Unicode MS"/>
          <w:spacing w:val="-4"/>
          <w:kern w:val="2"/>
          <w:szCs w:val="24"/>
          <w:lang w:eastAsia="lt-LT"/>
        </w:rPr>
        <w:t xml:space="preserve"> </w:t>
      </w:r>
      <w:proofErr w:type="spellStart"/>
      <w:r>
        <w:rPr>
          <w:rFonts w:eastAsia="Arial Unicode MS"/>
          <w:spacing w:val="-4"/>
          <w:kern w:val="2"/>
          <w:szCs w:val="24"/>
          <w:lang w:eastAsia="lt-LT"/>
        </w:rPr>
        <w:t>dibutilftalato</w:t>
      </w:r>
      <w:proofErr w:type="spellEnd"/>
      <w:r>
        <w:rPr>
          <w:rFonts w:eastAsia="Arial Unicode MS"/>
          <w:spacing w:val="-4"/>
          <w:kern w:val="2"/>
          <w:szCs w:val="24"/>
          <w:lang w:eastAsia="lt-LT"/>
        </w:rPr>
        <w:t xml:space="preserve">; 3,4-dichloranilino; </w:t>
      </w:r>
      <w:proofErr w:type="spellStart"/>
      <w:r>
        <w:rPr>
          <w:rFonts w:eastAsia="Arial Unicode MS"/>
          <w:spacing w:val="-4"/>
          <w:kern w:val="2"/>
          <w:szCs w:val="24"/>
          <w:lang w:eastAsia="lt-LT"/>
        </w:rPr>
        <w:t>diizodecilftalato</w:t>
      </w:r>
      <w:proofErr w:type="spellEnd"/>
      <w:r>
        <w:rPr>
          <w:rFonts w:eastAsia="Arial Unicode MS"/>
          <w:spacing w:val="-4"/>
          <w:kern w:val="2"/>
          <w:szCs w:val="24"/>
          <w:lang w:eastAsia="lt-LT"/>
        </w:rPr>
        <w:t>; 1,2-benzendikarboksirūgšties, di-C</w:t>
      </w:r>
      <w:r>
        <w:rPr>
          <w:rFonts w:eastAsia="Arial Unicode MS"/>
          <w:spacing w:val="-4"/>
          <w:kern w:val="2"/>
          <w:szCs w:val="24"/>
          <w:vertAlign w:val="subscript"/>
          <w:lang w:eastAsia="lt-LT"/>
        </w:rPr>
        <w:t>9-11</w:t>
      </w:r>
      <w:r>
        <w:rPr>
          <w:rFonts w:eastAsia="Arial Unicode MS"/>
          <w:spacing w:val="-4"/>
          <w:kern w:val="2"/>
          <w:szCs w:val="24"/>
          <w:lang w:eastAsia="lt-LT"/>
        </w:rPr>
        <w:t>-</w:t>
      </w:r>
      <w:r>
        <w:rPr>
          <w:rFonts w:eastAsia="Arial Unicode MS"/>
          <w:kern w:val="2"/>
          <w:szCs w:val="24"/>
          <w:lang w:eastAsia="lt-LT"/>
        </w:rPr>
        <w:t xml:space="preserve">šakotųjų </w:t>
      </w:r>
      <w:proofErr w:type="spellStart"/>
      <w:r>
        <w:rPr>
          <w:rFonts w:eastAsia="Arial Unicode MS"/>
          <w:kern w:val="2"/>
          <w:szCs w:val="24"/>
          <w:lang w:eastAsia="lt-LT"/>
        </w:rPr>
        <w:t>alkilesterių</w:t>
      </w:r>
      <w:proofErr w:type="spellEnd"/>
      <w:r>
        <w:rPr>
          <w:rFonts w:eastAsia="Arial Unicode MS"/>
          <w:kern w:val="2"/>
          <w:szCs w:val="24"/>
          <w:lang w:eastAsia="lt-LT"/>
        </w:rPr>
        <w:t>, turinčių daug C</w:t>
      </w:r>
      <w:r>
        <w:rPr>
          <w:rFonts w:eastAsia="Arial Unicode MS"/>
          <w:kern w:val="2"/>
          <w:szCs w:val="24"/>
          <w:vertAlign w:val="subscript"/>
          <w:lang w:eastAsia="lt-LT"/>
        </w:rPr>
        <w:t>10</w:t>
      </w:r>
      <w:r>
        <w:rPr>
          <w:rFonts w:eastAsia="Arial Unicode MS"/>
          <w:kern w:val="2"/>
          <w:szCs w:val="24"/>
          <w:lang w:eastAsia="lt-LT"/>
        </w:rPr>
        <w:t xml:space="preserve"> angliavandenilių; </w:t>
      </w:r>
      <w:proofErr w:type="spellStart"/>
      <w:r>
        <w:rPr>
          <w:rFonts w:eastAsia="Arial Unicode MS"/>
          <w:kern w:val="2"/>
          <w:szCs w:val="24"/>
          <w:lang w:eastAsia="lt-LT"/>
        </w:rPr>
        <w:t>diizononilftalato</w:t>
      </w:r>
      <w:proofErr w:type="spellEnd"/>
      <w:r>
        <w:rPr>
          <w:rFonts w:eastAsia="Arial Unicode MS"/>
          <w:kern w:val="2"/>
          <w:szCs w:val="24"/>
          <w:lang w:eastAsia="lt-LT"/>
        </w:rPr>
        <w:t>; 1,2-benzendikarboksirūgšties, di-C</w:t>
      </w:r>
      <w:r>
        <w:rPr>
          <w:rFonts w:eastAsia="Arial Unicode MS"/>
          <w:kern w:val="2"/>
          <w:szCs w:val="24"/>
          <w:vertAlign w:val="subscript"/>
          <w:lang w:eastAsia="lt-LT"/>
        </w:rPr>
        <w:t>8-10</w:t>
      </w:r>
      <w:r>
        <w:rPr>
          <w:rFonts w:eastAsia="Arial Unicode MS"/>
          <w:kern w:val="2"/>
          <w:szCs w:val="24"/>
          <w:lang w:eastAsia="lt-LT"/>
        </w:rPr>
        <w:t xml:space="preserve">-šakotųjų </w:t>
      </w:r>
      <w:proofErr w:type="spellStart"/>
      <w:r>
        <w:rPr>
          <w:rFonts w:eastAsia="Arial Unicode MS"/>
          <w:kern w:val="2"/>
          <w:szCs w:val="24"/>
          <w:lang w:eastAsia="lt-LT"/>
        </w:rPr>
        <w:t>alkilesterių</w:t>
      </w:r>
      <w:proofErr w:type="spellEnd"/>
      <w:r>
        <w:rPr>
          <w:rFonts w:eastAsia="Arial Unicode MS"/>
          <w:kern w:val="2"/>
          <w:szCs w:val="24"/>
          <w:lang w:eastAsia="lt-LT"/>
        </w:rPr>
        <w:t>, turinčių daug C</w:t>
      </w:r>
      <w:r>
        <w:rPr>
          <w:rFonts w:eastAsia="Arial Unicode MS"/>
          <w:kern w:val="2"/>
          <w:szCs w:val="24"/>
          <w:vertAlign w:val="subscript"/>
          <w:lang w:eastAsia="lt-LT"/>
        </w:rPr>
        <w:t>9</w:t>
      </w:r>
      <w:r>
        <w:rPr>
          <w:rFonts w:eastAsia="Arial Unicode MS"/>
          <w:kern w:val="2"/>
          <w:szCs w:val="24"/>
          <w:lang w:eastAsia="lt-LT"/>
        </w:rPr>
        <w:t xml:space="preserve"> angliavandenilių; </w:t>
      </w:r>
      <w:proofErr w:type="spellStart"/>
      <w:r>
        <w:rPr>
          <w:rFonts w:eastAsia="Arial Unicode MS"/>
          <w:kern w:val="2"/>
          <w:szCs w:val="24"/>
          <w:lang w:eastAsia="lt-LT"/>
        </w:rPr>
        <w:t>etilendiamintetraacetato</w:t>
      </w:r>
      <w:proofErr w:type="spellEnd"/>
      <w:r>
        <w:rPr>
          <w:rFonts w:eastAsia="Arial Unicode MS"/>
          <w:kern w:val="2"/>
          <w:szCs w:val="24"/>
          <w:lang w:eastAsia="lt-LT"/>
        </w:rPr>
        <w:t xml:space="preserve">; </w:t>
      </w:r>
      <w:proofErr w:type="spellStart"/>
      <w:r>
        <w:rPr>
          <w:rFonts w:eastAsia="Arial Unicode MS"/>
          <w:kern w:val="2"/>
          <w:szCs w:val="24"/>
          <w:lang w:eastAsia="lt-LT"/>
        </w:rPr>
        <w:t>metilacetato</w:t>
      </w:r>
      <w:proofErr w:type="spellEnd"/>
      <w:r>
        <w:rPr>
          <w:rFonts w:eastAsia="Arial Unicode MS"/>
          <w:kern w:val="2"/>
          <w:szCs w:val="24"/>
          <w:lang w:eastAsia="lt-LT"/>
        </w:rPr>
        <w:t xml:space="preserve">; </w:t>
      </w:r>
      <w:proofErr w:type="spellStart"/>
      <w:r>
        <w:rPr>
          <w:rFonts w:eastAsia="Arial Unicode MS"/>
          <w:kern w:val="2"/>
          <w:szCs w:val="24"/>
          <w:lang w:eastAsia="lt-LT"/>
        </w:rPr>
        <w:t>monochloracto</w:t>
      </w:r>
      <w:proofErr w:type="spellEnd"/>
      <w:r>
        <w:rPr>
          <w:rFonts w:eastAsia="Arial Unicode MS"/>
          <w:kern w:val="2"/>
          <w:szCs w:val="24"/>
          <w:lang w:eastAsia="lt-LT"/>
        </w:rPr>
        <w:t xml:space="preserve"> rūgšties; </w:t>
      </w:r>
      <w:proofErr w:type="spellStart"/>
      <w:r>
        <w:rPr>
          <w:rFonts w:eastAsia="Arial Unicode MS"/>
          <w:kern w:val="2"/>
          <w:szCs w:val="24"/>
          <w:lang w:eastAsia="lt-LT"/>
        </w:rPr>
        <w:t>pentano</w:t>
      </w:r>
      <w:proofErr w:type="spellEnd"/>
      <w:r>
        <w:rPr>
          <w:rFonts w:eastAsia="Arial Unicode MS"/>
          <w:kern w:val="2"/>
          <w:szCs w:val="24"/>
          <w:lang w:eastAsia="lt-LT"/>
        </w:rPr>
        <w:t xml:space="preserve">; </w:t>
      </w:r>
      <w:proofErr w:type="spellStart"/>
      <w:r>
        <w:rPr>
          <w:rFonts w:eastAsia="Arial Unicode MS"/>
          <w:kern w:val="2"/>
          <w:szCs w:val="24"/>
          <w:lang w:eastAsia="lt-LT"/>
        </w:rPr>
        <w:t>tetranatrio</w:t>
      </w:r>
      <w:proofErr w:type="spellEnd"/>
      <w:r>
        <w:rPr>
          <w:rFonts w:eastAsia="Arial Unicode MS"/>
          <w:kern w:val="2"/>
          <w:szCs w:val="24"/>
          <w:lang w:eastAsia="lt-LT"/>
        </w:rPr>
        <w:t xml:space="preserve"> </w:t>
      </w:r>
      <w:proofErr w:type="spellStart"/>
      <w:r>
        <w:rPr>
          <w:rFonts w:eastAsia="Arial Unicode MS"/>
          <w:kern w:val="2"/>
          <w:szCs w:val="24"/>
          <w:lang w:eastAsia="lt-LT"/>
        </w:rPr>
        <w:t>etilendiamintetraacetato</w:t>
      </w:r>
      <w:proofErr w:type="spellEnd"/>
      <w:r>
        <w:rPr>
          <w:rFonts w:eastAsia="Arial Unicode MS"/>
          <w:kern w:val="2"/>
          <w:szCs w:val="24"/>
          <w:lang w:eastAsia="lt-LT"/>
        </w:rPr>
        <w:t xml:space="preserve"> rizikos mažinimo priemonių</w:t>
      </w:r>
      <w:r>
        <w:rPr>
          <w:rFonts w:eastAsia="Arial Unicode MS"/>
          <w:spacing w:val="-4"/>
          <w:kern w:val="2"/>
          <w:szCs w:val="24"/>
          <w:lang w:eastAsia="lt-LT"/>
        </w:rPr>
        <w:t xml:space="preserve">, </w:t>
      </w:r>
      <w:r>
        <w:rPr>
          <w:rFonts w:eastAsia="Arial Unicode MS"/>
          <w:kern w:val="2"/>
          <w:szCs w:val="24"/>
          <w:lang w:eastAsia="lt-LT"/>
        </w:rPr>
        <w:t>2000 m. spalio 23 d. Europos Parlamento ir Tarybos direktyvos 2000/60/EB, nustatančios Bendrijos veiksmų vandens politikos srityje pagrindus</w:t>
      </w:r>
      <w:r>
        <w:rPr>
          <w:rFonts w:eastAsia="Arial Unicode MS"/>
          <w:color w:val="000000"/>
          <w:kern w:val="2"/>
          <w:szCs w:val="24"/>
          <w:lang w:eastAsia="lt-LT"/>
        </w:rPr>
        <w:t xml:space="preserve">, su </w:t>
      </w:r>
      <w:r>
        <w:rPr>
          <w:rFonts w:eastAsia="Arial Unicode MS"/>
          <w:color w:val="000000"/>
          <w:spacing w:val="4"/>
          <w:kern w:val="2"/>
          <w:szCs w:val="24"/>
          <w:lang w:eastAsia="lt-LT"/>
        </w:rPr>
        <w:t xml:space="preserve">paskutiniais pakeitimais, padarytais </w:t>
      </w:r>
      <w:r>
        <w:rPr>
          <w:rFonts w:eastAsia="Arial Unicode MS"/>
          <w:kern w:val="2"/>
          <w:szCs w:val="24"/>
          <w:lang w:eastAsia="lt-LT"/>
        </w:rPr>
        <w:t>2013 m. rugpjūčio 12 d. Europos Parlamento ir Tarybos direktyva 2013/39/ES</w:t>
      </w:r>
      <w:r>
        <w:rPr>
          <w:rFonts w:eastAsia="Arial Unicode MS"/>
          <w:spacing w:val="-4"/>
          <w:kern w:val="2"/>
          <w:szCs w:val="24"/>
          <w:lang w:eastAsia="lt-LT"/>
        </w:rPr>
        <w:t xml:space="preserve">, </w:t>
      </w:r>
      <w:r>
        <w:rPr>
          <w:rFonts w:eastAsia="Arial Unicode MS"/>
          <w:spacing w:val="-1"/>
          <w:kern w:val="2"/>
          <w:szCs w:val="24"/>
          <w:lang w:eastAsia="lt-LT"/>
        </w:rPr>
        <w:t>2008 m. gruodžio 16 d. Europos Parlamento ir Tarybos direktyvos 2008/105/EB dėl aplinkos kokybės standartų vandens politikos srityje, iš dalies keičiančios ir panaikinančios Tarybos direktyvas 82/176/EEB, 83/513/EEB, 84/156/EEB</w:t>
      </w:r>
      <w:r>
        <w:rPr>
          <w:rFonts w:eastAsia="Arial Unicode MS"/>
          <w:kern w:val="2"/>
          <w:szCs w:val="24"/>
          <w:lang w:eastAsia="lt-LT"/>
        </w:rPr>
        <w:t>, 84/491/EEB, 86/280/EEB ir iš dalies keičiančios Europos Pa</w:t>
      </w:r>
      <w:bookmarkStart w:id="0" w:name="_GoBack"/>
      <w:bookmarkEnd w:id="0"/>
      <w:r>
        <w:rPr>
          <w:rFonts w:eastAsia="Arial Unicode MS"/>
          <w:kern w:val="2"/>
          <w:szCs w:val="24"/>
          <w:lang w:eastAsia="lt-LT"/>
        </w:rPr>
        <w:t>rlamento ir Tarybos direktyvą 2000/60/EB</w:t>
      </w:r>
      <w:r>
        <w:rPr>
          <w:rFonts w:eastAsia="Arial Unicode MS"/>
          <w:spacing w:val="-4"/>
          <w:kern w:val="2"/>
          <w:szCs w:val="24"/>
          <w:lang w:eastAsia="lt-LT"/>
        </w:rPr>
        <w:t>,</w:t>
      </w:r>
      <w:r>
        <w:rPr>
          <w:rFonts w:eastAsia="Arial Unicode MS"/>
          <w:color w:val="000000"/>
          <w:kern w:val="2"/>
          <w:szCs w:val="24"/>
          <w:lang w:eastAsia="lt-LT"/>
        </w:rPr>
        <w:t xml:space="preserve"> su </w:t>
      </w:r>
      <w:r>
        <w:rPr>
          <w:rFonts w:eastAsia="Arial Unicode MS"/>
          <w:color w:val="000000"/>
          <w:spacing w:val="4"/>
          <w:kern w:val="2"/>
          <w:szCs w:val="24"/>
          <w:lang w:eastAsia="lt-LT"/>
        </w:rPr>
        <w:t xml:space="preserve">paskutiniais pakeitimais, padarytais </w:t>
      </w:r>
      <w:r>
        <w:rPr>
          <w:rFonts w:eastAsia="Arial Unicode MS"/>
          <w:kern w:val="2"/>
          <w:szCs w:val="24"/>
          <w:lang w:eastAsia="lt-LT"/>
        </w:rPr>
        <w:t>2013 m. rugpjūčio 12 d. Europos Parlamento ir Tarybos direktyva 2013/39/ES</w:t>
      </w:r>
      <w:r>
        <w:rPr>
          <w:rFonts w:eastAsia="Arial Unicode MS"/>
          <w:spacing w:val="-4"/>
          <w:kern w:val="2"/>
          <w:szCs w:val="24"/>
          <w:lang w:eastAsia="lt-LT"/>
        </w:rPr>
        <w:t xml:space="preserve">, </w:t>
      </w:r>
      <w:r>
        <w:rPr>
          <w:rFonts w:eastAsia="Arial Unicode MS"/>
          <w:kern w:val="2"/>
          <w:szCs w:val="24"/>
          <w:lang w:eastAsia="lt-LT"/>
        </w:rPr>
        <w:t>2013 m. rugpjūčio 12 d. Europos Parlamento ir Tarybos direktyvos 2013/39/ES, kuria iš dalies keičiamos direktyvų 2000/60/EB ir 2008/105/EB nuostatos dėl prioritetinių medžiagų vandens politikos srityje</w:t>
      </w:r>
      <w:r>
        <w:rPr>
          <w:rFonts w:eastAsia="Arial Unicode MS"/>
          <w:spacing w:val="-4"/>
          <w:kern w:val="2"/>
          <w:szCs w:val="24"/>
          <w:lang w:eastAsia="lt-LT"/>
        </w:rPr>
        <w:t xml:space="preserve">, taip pat </w:t>
      </w:r>
      <w:r>
        <w:rPr>
          <w:rFonts w:eastAsia="Arial Unicode MS"/>
          <w:kern w:val="2"/>
          <w:szCs w:val="24"/>
          <w:lang w:eastAsia="lt-LT"/>
        </w:rPr>
        <w:t xml:space="preserve">Baltijos jūros aplinkos apsaugos komisijos (Helsinkio komisijos) </w:t>
      </w:r>
      <w:r>
        <w:rPr>
          <w:rFonts w:eastAsia="Arial Unicode MS"/>
          <w:spacing w:val="-4"/>
          <w:kern w:val="2"/>
          <w:szCs w:val="24"/>
          <w:lang w:eastAsia="lt-LT"/>
        </w:rPr>
        <w:t>2007 m. lapkričio 15 d. rekomendacijos „Dėl individualių namų, mažų įmonių ir gyvenviečių iki 300 GE nuotekų valymo“ nuostatas</w:t>
      </w:r>
      <w:r>
        <w:rPr>
          <w:rFonts w:eastAsia="Arial Unicode MS"/>
          <w:kern w:val="2"/>
          <w:szCs w:val="24"/>
          <w:lang w:eastAsia="lt-LT"/>
        </w:rPr>
        <w:t>,“.</w:t>
      </w:r>
    </w:p>
    <w:p w:rsidR="00F03C71" w:rsidRDefault="003B006C">
      <w:pPr>
        <w:suppressAutoHyphens/>
        <w:ind w:firstLine="567"/>
        <w:jc w:val="both"/>
        <w:rPr>
          <w:color w:val="000000"/>
          <w:szCs w:val="24"/>
          <w:lang w:eastAsia="lt-LT"/>
        </w:rPr>
      </w:pPr>
      <w:r w:rsidR="00991202">
        <w:rPr>
          <w:color w:val="000000"/>
          <w:szCs w:val="24"/>
          <w:lang w:eastAsia="lt-LT"/>
        </w:rPr>
        <w:t>1.2</w:t>
      </w:r>
      <w:r w:rsidR="00991202">
        <w:rPr>
          <w:color w:val="000000"/>
          <w:szCs w:val="24"/>
          <w:lang w:eastAsia="lt-LT"/>
        </w:rPr>
        <w:t>. Pakeičiu nurodytu įsakymu patvirtintą </w:t>
      </w:r>
      <w:r w:rsidR="00991202">
        <w:rPr>
          <w:szCs w:val="24"/>
          <w:lang w:eastAsia="lt-LT"/>
        </w:rPr>
        <w:t>Nuotekų tvarkymo reglamentą</w:t>
      </w:r>
      <w:r w:rsidR="00991202">
        <w:rPr>
          <w:color w:val="000000"/>
          <w:szCs w:val="24"/>
          <w:lang w:eastAsia="lt-LT"/>
        </w:rPr>
        <w:t>:</w:t>
      </w:r>
    </w:p>
    <w:p w:rsidR="00F03C71" w:rsidRDefault="003B006C">
      <w:pPr>
        <w:suppressAutoHyphens/>
        <w:ind w:firstLine="567"/>
        <w:jc w:val="both"/>
        <w:rPr>
          <w:color w:val="000000"/>
          <w:szCs w:val="24"/>
          <w:lang w:eastAsia="lt-LT"/>
        </w:rPr>
      </w:pPr>
      <w:r w:rsidR="00991202">
        <w:rPr>
          <w:color w:val="000000"/>
          <w:szCs w:val="24"/>
          <w:shd w:val="clear" w:color="auto" w:fill="FFFFFF"/>
          <w:lang w:eastAsia="lt-LT"/>
        </w:rPr>
        <w:t>1.2.1</w:t>
      </w:r>
      <w:r w:rsidR="00991202">
        <w:rPr>
          <w:color w:val="000000"/>
          <w:szCs w:val="24"/>
          <w:shd w:val="clear" w:color="auto" w:fill="FFFFFF"/>
          <w:lang w:eastAsia="lt-LT"/>
        </w:rPr>
        <w:t xml:space="preserve">. </w:t>
      </w:r>
      <w:r w:rsidR="00991202">
        <w:rPr>
          <w:color w:val="000000"/>
          <w:lang w:eastAsia="lt-LT"/>
        </w:rPr>
        <w:t>Pripažįstu netekusiu galios 5.3 papunktį.</w:t>
      </w:r>
    </w:p>
    <w:p w:rsidR="00F03C71" w:rsidRDefault="003B006C">
      <w:pPr>
        <w:tabs>
          <w:tab w:val="left" w:pos="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line="276" w:lineRule="auto"/>
        <w:ind w:firstLine="567"/>
        <w:jc w:val="both"/>
        <w:rPr>
          <w:highlight w:val="yellow"/>
          <w:lang w:eastAsia="lt-LT"/>
        </w:rPr>
      </w:pPr>
      <w:r w:rsidR="00991202">
        <w:rPr>
          <w:lang w:eastAsia="lt-LT"/>
        </w:rPr>
        <w:t>1.2.2</w:t>
      </w:r>
      <w:r w:rsidR="00991202">
        <w:rPr>
          <w:lang w:eastAsia="lt-LT"/>
        </w:rPr>
        <w:t>. Pakeičiu 15 punktą ir jį išdėstau taip:</w:t>
      </w:r>
    </w:p>
    <w:p w:rsidR="00F03C71" w:rsidRDefault="00991202">
      <w:pPr>
        <w:suppressAutoHyphens/>
        <w:ind w:firstLine="567"/>
        <w:jc w:val="both"/>
        <w:rPr>
          <w:rFonts w:eastAsia="Calibri"/>
          <w:szCs w:val="24"/>
          <w:lang w:eastAsia="lt-LT"/>
        </w:rPr>
      </w:pPr>
      <w:r>
        <w:rPr>
          <w:rFonts w:eastAsia="Arial Unicode MS"/>
          <w:color w:val="000000"/>
          <w:kern w:val="2"/>
          <w:szCs w:val="24"/>
          <w:lang w:eastAsia="lt-LT"/>
        </w:rPr>
        <w:t>„</w:t>
      </w:r>
      <w:r>
        <w:rPr>
          <w:rFonts w:eastAsia="Arial Unicode MS"/>
          <w:color w:val="000000"/>
          <w:kern w:val="2"/>
          <w:szCs w:val="24"/>
          <w:lang w:eastAsia="lt-LT"/>
        </w:rPr>
        <w:t>15</w:t>
      </w:r>
      <w:r>
        <w:rPr>
          <w:rFonts w:eastAsia="Arial Unicode MS"/>
          <w:color w:val="000000"/>
          <w:kern w:val="2"/>
          <w:szCs w:val="24"/>
          <w:lang w:eastAsia="lt-LT"/>
        </w:rPr>
        <w:t xml:space="preserve">. Į gamtinę aplinką išleisti </w:t>
      </w:r>
      <w:r>
        <w:rPr>
          <w:rFonts w:eastAsia="Arial Unicode MS"/>
          <w:bCs/>
          <w:color w:val="000000"/>
          <w:kern w:val="2"/>
          <w:szCs w:val="24"/>
          <w:lang w:eastAsia="lt-LT"/>
        </w:rPr>
        <w:t>gamybines ir komunalines</w:t>
      </w:r>
      <w:r>
        <w:rPr>
          <w:rFonts w:eastAsia="Arial Unicode MS"/>
          <w:color w:val="000000"/>
          <w:kern w:val="2"/>
          <w:szCs w:val="24"/>
          <w:lang w:eastAsia="lt-LT"/>
        </w:rPr>
        <w:t xml:space="preserve"> nuotekas (nepriklausomai nuo nuotekų kiekio/debito), kuriose prioritetinių</w:t>
      </w:r>
      <w:r w:rsidR="003B006C">
        <w:rPr>
          <w:rFonts w:eastAsia="Arial Unicode MS"/>
          <w:color w:val="000000"/>
          <w:kern w:val="2"/>
          <w:szCs w:val="24"/>
          <w:lang w:eastAsia="lt-LT"/>
        </w:rPr>
        <w:t xml:space="preserve"> </w:t>
      </w:r>
      <w:r>
        <w:rPr>
          <w:rFonts w:eastAsia="Arial Unicode MS"/>
          <w:color w:val="000000"/>
          <w:kern w:val="2"/>
          <w:szCs w:val="24"/>
          <w:lang w:eastAsia="lt-LT"/>
        </w:rPr>
        <w:t>medžiagų koncentracija yra lygi arba didesnė už šio Reglamento 2 priedo A dalyje nurodytą</w:t>
      </w:r>
      <w:r>
        <w:rPr>
          <w:color w:val="000000"/>
          <w:lang w:eastAsia="lt-LT"/>
        </w:rPr>
        <w:t xml:space="preserve"> ribinės koncentracijos į gamtinę aplinką vertę</w:t>
      </w:r>
      <w:r>
        <w:rPr>
          <w:rFonts w:eastAsia="Arial Unicode MS"/>
          <w:color w:val="000000"/>
          <w:kern w:val="2"/>
          <w:szCs w:val="24"/>
          <w:lang w:eastAsia="lt-LT"/>
        </w:rPr>
        <w:t xml:space="preserve"> ir/ar kuriose prioritetinių pavojingų medžiagų </w:t>
      </w:r>
      <w:r>
        <w:rPr>
          <w:rFonts w:eastAsia="Arial Unicode MS"/>
          <w:bCs/>
          <w:color w:val="000000"/>
          <w:kern w:val="2"/>
          <w:szCs w:val="24"/>
          <w:lang w:eastAsia="lt-LT"/>
        </w:rPr>
        <w:t>koncentracija viršija šio Reglamento 1 priede nurodytą DLK-AKS vidaus paviršiniams vandenims</w:t>
      </w:r>
      <w:r>
        <w:rPr>
          <w:rFonts w:eastAsia="EUAlbertina+01"/>
          <w:bCs/>
          <w:szCs w:val="24"/>
          <w:lang w:eastAsia="lt-LT"/>
        </w:rPr>
        <w:t xml:space="preserve">, o kai medžiagai </w:t>
      </w:r>
      <w:r>
        <w:rPr>
          <w:rFonts w:eastAsia="Arial Unicode MS"/>
          <w:bCs/>
          <w:color w:val="000000"/>
          <w:kern w:val="2"/>
          <w:szCs w:val="24"/>
          <w:lang w:eastAsia="lt-LT"/>
        </w:rPr>
        <w:t xml:space="preserve">DLK-AKS nenustatytas, </w:t>
      </w:r>
      <w:r>
        <w:rPr>
          <w:rFonts w:eastAsia="EUAlbertina+01"/>
          <w:bCs/>
          <w:szCs w:val="24"/>
          <w:lang w:eastAsia="lt-LT"/>
        </w:rPr>
        <w:t xml:space="preserve">– </w:t>
      </w:r>
      <w:proofErr w:type="spellStart"/>
      <w:r>
        <w:rPr>
          <w:rFonts w:eastAsia="EUAlbertina" w:cs="EUAlbertina"/>
          <w:bCs/>
          <w:szCs w:val="24"/>
          <w:lang w:val="en-US" w:eastAsia="ar-SA"/>
        </w:rPr>
        <w:t>aplinkos</w:t>
      </w:r>
      <w:proofErr w:type="spellEnd"/>
      <w:r>
        <w:rPr>
          <w:rFonts w:eastAsia="EUAlbertina" w:cs="EUAlbertina"/>
          <w:bCs/>
          <w:szCs w:val="24"/>
          <w:lang w:val="en-US" w:eastAsia="ar-SA"/>
        </w:rPr>
        <w:t xml:space="preserve"> </w:t>
      </w:r>
      <w:proofErr w:type="spellStart"/>
      <w:r>
        <w:rPr>
          <w:rFonts w:eastAsia="EUAlbertina" w:cs="EUAlbertina"/>
          <w:bCs/>
          <w:szCs w:val="24"/>
          <w:lang w:val="en-US" w:eastAsia="ar-SA"/>
        </w:rPr>
        <w:t>kokybės</w:t>
      </w:r>
      <w:proofErr w:type="spellEnd"/>
      <w:r>
        <w:rPr>
          <w:rFonts w:eastAsia="EUAlbertina" w:cs="EUAlbertina"/>
          <w:bCs/>
          <w:szCs w:val="24"/>
          <w:lang w:val="en-US" w:eastAsia="ar-SA"/>
        </w:rPr>
        <w:t xml:space="preserve"> </w:t>
      </w:r>
      <w:proofErr w:type="spellStart"/>
      <w:r>
        <w:rPr>
          <w:rFonts w:eastAsia="EUAlbertina" w:cs="EUAlbertina"/>
          <w:bCs/>
          <w:szCs w:val="24"/>
          <w:lang w:val="en-US" w:eastAsia="ar-SA"/>
        </w:rPr>
        <w:t>standartą</w:t>
      </w:r>
      <w:proofErr w:type="spellEnd"/>
      <w:r>
        <w:rPr>
          <w:rFonts w:eastAsia="EUAlbertina" w:cs="EUAlbertina"/>
          <w:bCs/>
          <w:szCs w:val="24"/>
          <w:lang w:val="en-US" w:eastAsia="ar-SA"/>
        </w:rPr>
        <w:t xml:space="preserve">, </w:t>
      </w:r>
      <w:proofErr w:type="spellStart"/>
      <w:r>
        <w:rPr>
          <w:rFonts w:eastAsia="EUAlbertina" w:cs="EUAlbertina"/>
          <w:bCs/>
          <w:szCs w:val="24"/>
          <w:lang w:val="en-US" w:eastAsia="ar-SA"/>
        </w:rPr>
        <w:t>i</w:t>
      </w:r>
      <w:r>
        <w:rPr>
          <w:rFonts w:eastAsia="EUAlbertina+01" w:cs="EUAlbertina+01"/>
          <w:bCs/>
          <w:szCs w:val="24"/>
          <w:lang w:val="en-US" w:eastAsia="ar-SA"/>
        </w:rPr>
        <w:t>š</w:t>
      </w:r>
      <w:r>
        <w:rPr>
          <w:rFonts w:eastAsia="EUAlbertina" w:cs="EUAlbertina"/>
          <w:bCs/>
          <w:szCs w:val="24"/>
          <w:lang w:val="en-US" w:eastAsia="ar-SA"/>
        </w:rPr>
        <w:t>reik</w:t>
      </w:r>
      <w:r>
        <w:rPr>
          <w:rFonts w:eastAsia="EUAlbertina+01" w:cs="EUAlbertina+01"/>
          <w:bCs/>
          <w:szCs w:val="24"/>
          <w:lang w:val="en-US" w:eastAsia="ar-SA"/>
        </w:rPr>
        <w:t>š</w:t>
      </w:r>
      <w:r>
        <w:rPr>
          <w:rFonts w:eastAsia="EUAlbertina" w:cs="EUAlbertina"/>
          <w:bCs/>
          <w:szCs w:val="24"/>
          <w:lang w:val="en-US" w:eastAsia="ar-SA"/>
        </w:rPr>
        <w:t>tą</w:t>
      </w:r>
      <w:proofErr w:type="spellEnd"/>
      <w:r>
        <w:rPr>
          <w:rFonts w:eastAsia="EUAlbertina" w:cs="EUAlbertina"/>
          <w:bCs/>
          <w:szCs w:val="24"/>
          <w:lang w:val="en-US" w:eastAsia="ar-SA"/>
        </w:rPr>
        <w:t xml:space="preserve"> </w:t>
      </w:r>
      <w:proofErr w:type="spellStart"/>
      <w:r>
        <w:rPr>
          <w:rFonts w:eastAsia="EUAlbertina" w:cs="EUAlbertina"/>
          <w:bCs/>
          <w:szCs w:val="24"/>
          <w:lang w:val="en-US" w:eastAsia="ar-SA"/>
        </w:rPr>
        <w:t>kaip</w:t>
      </w:r>
      <w:proofErr w:type="spellEnd"/>
      <w:r>
        <w:rPr>
          <w:rFonts w:eastAsia="EUAlbertina" w:cs="EUAlbertina"/>
          <w:bCs/>
          <w:szCs w:val="24"/>
          <w:lang w:val="en-US" w:eastAsia="ar-SA"/>
        </w:rPr>
        <w:t xml:space="preserve"> </w:t>
      </w:r>
      <w:proofErr w:type="spellStart"/>
      <w:r>
        <w:rPr>
          <w:rFonts w:eastAsia="EUAlbertina" w:cs="EUAlbertina"/>
          <w:bCs/>
          <w:szCs w:val="24"/>
          <w:lang w:val="en-US" w:eastAsia="ar-SA"/>
        </w:rPr>
        <w:t>metinė</w:t>
      </w:r>
      <w:proofErr w:type="spellEnd"/>
      <w:r>
        <w:rPr>
          <w:rFonts w:eastAsia="EUAlbertina" w:cs="EUAlbertina"/>
          <w:bCs/>
          <w:szCs w:val="24"/>
          <w:lang w:val="en-US" w:eastAsia="ar-SA"/>
        </w:rPr>
        <w:t xml:space="preserve"> </w:t>
      </w:r>
      <w:proofErr w:type="spellStart"/>
      <w:r>
        <w:rPr>
          <w:rFonts w:eastAsia="EUAlbertina" w:cs="EUAlbertina"/>
          <w:bCs/>
          <w:szCs w:val="24"/>
          <w:lang w:val="en-US" w:eastAsia="ar-SA"/>
        </w:rPr>
        <w:t>vidutinė</w:t>
      </w:r>
      <w:proofErr w:type="spellEnd"/>
      <w:r>
        <w:rPr>
          <w:rFonts w:eastAsia="EUAlbertina" w:cs="EUAlbertina"/>
          <w:bCs/>
          <w:szCs w:val="24"/>
          <w:lang w:val="en-US" w:eastAsia="ar-SA"/>
        </w:rPr>
        <w:t xml:space="preserve"> </w:t>
      </w:r>
      <w:proofErr w:type="spellStart"/>
      <w:r>
        <w:rPr>
          <w:rFonts w:eastAsia="EUAlbertina" w:cs="EUAlbertina"/>
          <w:bCs/>
          <w:szCs w:val="24"/>
          <w:lang w:val="en-US" w:eastAsia="ar-SA"/>
        </w:rPr>
        <w:t>vert</w:t>
      </w:r>
      <w:r>
        <w:rPr>
          <w:rFonts w:eastAsia="EUAlbertina+01" w:cs="EUAlbertina+01"/>
          <w:bCs/>
          <w:szCs w:val="24"/>
          <w:lang w:val="en-US" w:eastAsia="ar-SA"/>
        </w:rPr>
        <w:t>ė</w:t>
      </w:r>
      <w:proofErr w:type="spellEnd"/>
      <w:r>
        <w:rPr>
          <w:rFonts w:eastAsia="EUAlbertina+01" w:cs="EUAlbertina+01"/>
          <w:bCs/>
          <w:szCs w:val="24"/>
          <w:lang w:val="en-US" w:eastAsia="ar-SA"/>
        </w:rPr>
        <w:t xml:space="preserve"> </w:t>
      </w:r>
      <w:r>
        <w:rPr>
          <w:rFonts w:eastAsia="EUAlbertina" w:cs="EUAlbertina"/>
          <w:bCs/>
          <w:szCs w:val="24"/>
          <w:lang w:val="en-US" w:eastAsia="ar-SA"/>
        </w:rPr>
        <w:t>(</w:t>
      </w:r>
      <w:r>
        <w:rPr>
          <w:rFonts w:eastAsia="EUAlbertina+01"/>
          <w:bCs/>
          <w:szCs w:val="24"/>
          <w:lang w:eastAsia="lt-LT"/>
        </w:rPr>
        <w:t xml:space="preserve">toliau – </w:t>
      </w:r>
      <w:r>
        <w:rPr>
          <w:rFonts w:eastAsia="EUAlbertina" w:cs="EUAlbertina"/>
          <w:bCs/>
          <w:szCs w:val="24"/>
          <w:lang w:val="en-US" w:eastAsia="ar-SA"/>
        </w:rPr>
        <w:t xml:space="preserve">MV-AKS), </w:t>
      </w:r>
      <w:proofErr w:type="spellStart"/>
      <w:r>
        <w:rPr>
          <w:rFonts w:eastAsia="EUAlbertina" w:cs="EUAlbertina"/>
          <w:bCs/>
          <w:szCs w:val="24"/>
          <w:lang w:val="en-US" w:eastAsia="ar-SA"/>
        </w:rPr>
        <w:t>vidaus</w:t>
      </w:r>
      <w:proofErr w:type="spellEnd"/>
      <w:r>
        <w:rPr>
          <w:rFonts w:eastAsia="EUAlbertina" w:cs="EUAlbertina"/>
          <w:bCs/>
          <w:szCs w:val="24"/>
          <w:lang w:val="en-US" w:eastAsia="ar-SA"/>
        </w:rPr>
        <w:t xml:space="preserve"> </w:t>
      </w:r>
      <w:proofErr w:type="spellStart"/>
      <w:r>
        <w:rPr>
          <w:rFonts w:eastAsia="EUAlbertina" w:cs="EUAlbertina"/>
          <w:bCs/>
          <w:szCs w:val="24"/>
          <w:lang w:val="en-US" w:eastAsia="ar-SA"/>
        </w:rPr>
        <w:t>paviršiniams</w:t>
      </w:r>
      <w:proofErr w:type="spellEnd"/>
      <w:r>
        <w:rPr>
          <w:rFonts w:eastAsia="EUAlbertina" w:cs="EUAlbertina"/>
          <w:bCs/>
          <w:szCs w:val="24"/>
          <w:lang w:val="en-US" w:eastAsia="ar-SA"/>
        </w:rPr>
        <w:t xml:space="preserve"> </w:t>
      </w:r>
      <w:proofErr w:type="spellStart"/>
      <w:r>
        <w:rPr>
          <w:rFonts w:eastAsia="EUAlbertina" w:cs="EUAlbertina"/>
          <w:bCs/>
          <w:szCs w:val="24"/>
          <w:lang w:val="en-US" w:eastAsia="ar-SA"/>
        </w:rPr>
        <w:t>vandenims</w:t>
      </w:r>
      <w:proofErr w:type="spellEnd"/>
      <w:r>
        <w:rPr>
          <w:rFonts w:eastAsia="Arial Unicode MS"/>
          <w:color w:val="000000"/>
          <w:kern w:val="2"/>
          <w:szCs w:val="24"/>
          <w:lang w:eastAsia="lt-LT"/>
        </w:rPr>
        <w:t xml:space="preserve">, leidžiama tik turint leidimą, kuriame nustatyti reikalavimai tokioms medžiagoms išleisti. Siekiant geros paviršinių vandens telkinių būklės ir užtikrinant, kad prioritetinių medžiagų koncentracija nuosėdose ir (arba) atitinkamoje </w:t>
      </w:r>
      <w:proofErr w:type="spellStart"/>
      <w:r>
        <w:rPr>
          <w:rFonts w:eastAsia="Arial Unicode MS"/>
          <w:color w:val="000000"/>
          <w:kern w:val="2"/>
          <w:szCs w:val="24"/>
          <w:lang w:eastAsia="lt-LT"/>
        </w:rPr>
        <w:t>biotoje</w:t>
      </w:r>
      <w:proofErr w:type="spellEnd"/>
      <w:r>
        <w:rPr>
          <w:rFonts w:eastAsia="Arial Unicode MS"/>
          <w:color w:val="000000"/>
          <w:kern w:val="2"/>
          <w:szCs w:val="24"/>
          <w:lang w:eastAsia="lt-LT"/>
        </w:rPr>
        <w:t xml:space="preserve"> nedidėtų, draudžiama pradėti naują veiklą (arba keisti esamą), dėl kurios su nuotekomis </w:t>
      </w:r>
      <w:r>
        <w:rPr>
          <w:rFonts w:eastAsia="Arial Unicode MS"/>
          <w:color w:val="000000"/>
          <w:spacing w:val="4"/>
          <w:kern w:val="2"/>
          <w:szCs w:val="24"/>
          <w:lang w:eastAsia="lt-LT"/>
        </w:rPr>
        <w:t xml:space="preserve">būtų išleidžiamos (į gamtinę aplinką arba </w:t>
      </w:r>
      <w:proofErr w:type="spellStart"/>
      <w:r>
        <w:rPr>
          <w:rFonts w:eastAsia="Arial Unicode MS"/>
          <w:color w:val="000000"/>
          <w:spacing w:val="4"/>
          <w:kern w:val="2"/>
          <w:szCs w:val="24"/>
          <w:lang w:eastAsia="lt-LT"/>
        </w:rPr>
        <w:t>nuotakyną</w:t>
      </w:r>
      <w:proofErr w:type="spellEnd"/>
      <w:r>
        <w:rPr>
          <w:rFonts w:eastAsia="Arial Unicode MS"/>
          <w:color w:val="000000"/>
          <w:spacing w:val="4"/>
          <w:kern w:val="2"/>
          <w:szCs w:val="24"/>
          <w:lang w:eastAsia="lt-LT"/>
        </w:rPr>
        <w:t xml:space="preserve">) </w:t>
      </w:r>
      <w:r>
        <w:rPr>
          <w:rFonts w:eastAsia="Arial Unicode MS"/>
          <w:color w:val="000000"/>
          <w:spacing w:val="2"/>
          <w:kern w:val="2"/>
          <w:szCs w:val="24"/>
          <w:lang w:eastAsia="lt-LT"/>
        </w:rPr>
        <w:t xml:space="preserve">prioritetinės medžiagos </w:t>
      </w:r>
      <w:r>
        <w:rPr>
          <w:rFonts w:eastAsia="Arial Unicode MS"/>
          <w:color w:val="000000"/>
          <w:spacing w:val="2"/>
          <w:kern w:val="2"/>
          <w:szCs w:val="24"/>
          <w:lang w:eastAsia="lt-LT"/>
        </w:rPr>
        <w:lastRenderedPageBreak/>
        <w:t xml:space="preserve">(išskyrus atliekų tvarkymo veiklą). Esamas </w:t>
      </w:r>
      <w:r>
        <w:rPr>
          <w:rFonts w:eastAsia="Arial Unicode MS"/>
          <w:bCs/>
          <w:color w:val="000000"/>
          <w:spacing w:val="2"/>
          <w:kern w:val="2"/>
          <w:szCs w:val="24"/>
          <w:lang w:eastAsia="lt-LT"/>
        </w:rPr>
        <w:t>šio Reglamento</w:t>
      </w:r>
      <w:r>
        <w:rPr>
          <w:rFonts w:eastAsia="Arial Unicode MS"/>
          <w:color w:val="000000"/>
          <w:spacing w:val="2"/>
          <w:kern w:val="2"/>
          <w:szCs w:val="24"/>
          <w:lang w:eastAsia="lt-LT"/>
        </w:rPr>
        <w:t xml:space="preserve"> 2 priedo A </w:t>
      </w:r>
      <w:r>
        <w:rPr>
          <w:rFonts w:eastAsia="Arial Unicode MS"/>
          <w:color w:val="000000"/>
          <w:kern w:val="2"/>
          <w:szCs w:val="24"/>
          <w:lang w:eastAsia="lt-LT"/>
        </w:rPr>
        <w:t xml:space="preserve">dalyje nurodytų prioritetinių medžiagų išleidimas su nuotekomis turi būti mažinamas, o </w:t>
      </w:r>
      <w:r>
        <w:rPr>
          <w:rFonts w:eastAsia="Arial Unicode MS"/>
          <w:bCs/>
          <w:color w:val="000000"/>
          <w:kern w:val="2"/>
          <w:szCs w:val="24"/>
          <w:lang w:eastAsia="lt-LT"/>
        </w:rPr>
        <w:t>šio Reglamento</w:t>
      </w:r>
      <w:r>
        <w:rPr>
          <w:rFonts w:eastAsia="Arial Unicode MS"/>
          <w:color w:val="000000"/>
          <w:kern w:val="2"/>
          <w:szCs w:val="24"/>
          <w:lang w:eastAsia="lt-LT"/>
        </w:rPr>
        <w:t xml:space="preserve"> 1</w:t>
      </w:r>
      <w:r>
        <w:rPr>
          <w:rFonts w:eastAsia="Arial Unicode MS"/>
          <w:b/>
          <w:bCs/>
          <w:color w:val="000000"/>
          <w:kern w:val="2"/>
          <w:szCs w:val="24"/>
          <w:lang w:eastAsia="lt-LT"/>
        </w:rPr>
        <w:t> </w:t>
      </w:r>
      <w:r>
        <w:rPr>
          <w:rFonts w:eastAsia="Arial Unicode MS"/>
          <w:color w:val="000000"/>
          <w:kern w:val="2"/>
          <w:szCs w:val="24"/>
          <w:lang w:eastAsia="lt-LT"/>
        </w:rPr>
        <w:t xml:space="preserve">priede nurodytų prioritetinių pavojingų medžiagų išleidimas </w:t>
      </w:r>
      <w:r>
        <w:rPr>
          <w:rFonts w:eastAsia="Arial Unicode MS"/>
          <w:b/>
          <w:bCs/>
          <w:color w:val="000000"/>
          <w:kern w:val="2"/>
          <w:szCs w:val="24"/>
          <w:lang w:eastAsia="lt-LT"/>
        </w:rPr>
        <w:t xml:space="preserve">– </w:t>
      </w:r>
      <w:r>
        <w:rPr>
          <w:rFonts w:eastAsia="Arial Unicode MS"/>
          <w:color w:val="000000"/>
          <w:kern w:val="2"/>
          <w:szCs w:val="24"/>
          <w:lang w:eastAsia="lt-LT"/>
        </w:rPr>
        <w:t>palaipsniui nutrauktas.“</w:t>
      </w:r>
    </w:p>
    <w:p w:rsidR="00F03C71" w:rsidRDefault="003B006C">
      <w:pPr>
        <w:tabs>
          <w:tab w:val="left" w:pos="540"/>
        </w:tabs>
        <w:suppressAutoHyphens/>
        <w:ind w:firstLine="540"/>
        <w:rPr>
          <w:rFonts w:eastAsia="Calibri"/>
          <w:szCs w:val="24"/>
          <w:lang w:eastAsia="lt-LT"/>
        </w:rPr>
      </w:pPr>
      <w:r w:rsidR="00991202">
        <w:rPr>
          <w:rFonts w:eastAsia="Calibri"/>
          <w:szCs w:val="24"/>
          <w:lang w:eastAsia="lt-LT"/>
        </w:rPr>
        <w:t>2</w:t>
      </w:r>
      <w:r w:rsidR="00991202">
        <w:rPr>
          <w:rFonts w:eastAsia="Calibri"/>
          <w:szCs w:val="24"/>
          <w:lang w:eastAsia="lt-LT"/>
        </w:rPr>
        <w:t>. N u s t a t a u, kad šis įsakymas įsigalioja 2022 m. gegužės 1 d.</w:t>
      </w:r>
    </w:p>
    <w:p w:rsidR="00F03C71" w:rsidRDefault="00F03C71">
      <w:pPr>
        <w:suppressAutoHyphens/>
        <w:ind w:firstLine="567"/>
        <w:jc w:val="both"/>
        <w:rPr>
          <w:lang w:eastAsia="lt-LT"/>
        </w:rPr>
      </w:pPr>
    </w:p>
    <w:p w:rsidR="00F03C71" w:rsidRDefault="00F03C71">
      <w:pPr>
        <w:suppressAutoHyphens/>
        <w:ind w:firstLine="567"/>
        <w:rPr>
          <w:lang w:eastAsia="lt-LT"/>
        </w:rPr>
      </w:pPr>
    </w:p>
    <w:p w:rsidR="00F03C71" w:rsidRDefault="00F03C71">
      <w:pPr>
        <w:suppressAutoHyphens/>
        <w:ind w:firstLine="567"/>
        <w:rPr>
          <w:lang w:eastAsia="lt-LT"/>
        </w:rPr>
      </w:pPr>
    </w:p>
    <w:p w:rsidR="00F03C71" w:rsidRDefault="00991202" w:rsidP="00991202">
      <w:pPr>
        <w:tabs>
          <w:tab w:val="left" w:pos="7655"/>
        </w:tabs>
        <w:suppressAutoHyphens/>
        <w:ind w:left="8" w:right="34"/>
        <w:rPr>
          <w:lang w:eastAsia="lt-LT"/>
        </w:rPr>
      </w:pPr>
      <w:r>
        <w:rPr>
          <w:color w:val="000000"/>
          <w:szCs w:val="24"/>
          <w:lang w:eastAsia="lt-LT"/>
        </w:rPr>
        <w:t>Aplinkos ministras</w:t>
      </w:r>
      <w:r>
        <w:rPr>
          <w:lang w:eastAsia="lt-LT"/>
        </w:rPr>
        <w:tab/>
      </w:r>
      <w:r>
        <w:rPr>
          <w:color w:val="000000"/>
          <w:szCs w:val="24"/>
          <w:lang w:eastAsia="lt-LT"/>
        </w:rPr>
        <w:t>Simonas Gentvilas</w:t>
      </w:r>
    </w:p>
    <w:sectPr w:rsidR="00F03C71">
      <w:headerReference w:type="default" r:id="rId12"/>
      <w:footnotePr>
        <w:pos w:val="beneathText"/>
      </w:footnotePr>
      <w:type w:val="continuous"/>
      <w:pgSz w:w="11905" w:h="16837" w:code="9"/>
      <w:pgMar w:top="1134" w:right="567" w:bottom="1134" w:left="1701" w:header="567" w:footer="567" w:gutter="0"/>
      <w:cols w:space="1296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3C71" w:rsidRDefault="00991202">
      <w:pPr>
        <w:suppressAutoHyphens/>
        <w:rPr>
          <w:lang w:eastAsia="lt-LT"/>
        </w:rPr>
      </w:pPr>
      <w:r>
        <w:rPr>
          <w:lang w:eastAsia="lt-LT"/>
        </w:rPr>
        <w:separator/>
      </w:r>
    </w:p>
  </w:endnote>
  <w:endnote w:type="continuationSeparator" w:id="0">
    <w:p w:rsidR="00F03C71" w:rsidRDefault="00991202">
      <w:pPr>
        <w:suppressAutoHyphens/>
        <w:rPr>
          <w:lang w:eastAsia="lt-LT"/>
        </w:rPr>
      </w:pPr>
      <w:r>
        <w:rPr>
          <w:lang w:eastAsia="lt-LT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EUAlbertina+01">
    <w:panose1 w:val="00000000000000000000"/>
    <w:charset w:val="BA"/>
    <w:family w:val="auto"/>
    <w:notTrueType/>
    <w:pitch w:val="default"/>
    <w:sig w:usb0="00000005" w:usb1="00000000" w:usb2="00000000" w:usb3="00000000" w:csb0="00000080" w:csb1="00000000"/>
  </w:font>
  <w:font w:name="EUAlbertina">
    <w:altName w:val="Times New Roman"/>
    <w:charset w:val="00"/>
    <w:family w:val="roman"/>
    <w:pitch w:val="default"/>
    <w:sig w:usb0="00000007" w:usb1="00000000" w:usb2="00000000" w:usb3="00000000" w:csb0="00000003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3C71" w:rsidRDefault="00991202">
      <w:pPr>
        <w:suppressAutoHyphens/>
        <w:rPr>
          <w:lang w:eastAsia="lt-LT"/>
        </w:rPr>
      </w:pPr>
      <w:r>
        <w:rPr>
          <w:lang w:eastAsia="lt-LT"/>
        </w:rPr>
        <w:separator/>
      </w:r>
    </w:p>
  </w:footnote>
  <w:footnote w:type="continuationSeparator" w:id="0">
    <w:p w:rsidR="00F03C71" w:rsidRDefault="00991202">
      <w:pPr>
        <w:suppressAutoHyphens/>
        <w:rPr>
          <w:lang w:eastAsia="lt-LT"/>
        </w:rPr>
      </w:pPr>
      <w:r>
        <w:rPr>
          <w:lang w:eastAsia="lt-LT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3C71" w:rsidRDefault="00991202">
    <w:pPr>
      <w:tabs>
        <w:tab w:val="center" w:pos="4153"/>
        <w:tab w:val="right" w:pos="9100"/>
      </w:tabs>
      <w:suppressAutoHyphens/>
      <w:jc w:val="center"/>
      <w:rPr>
        <w:rFonts w:ascii="Tahoma" w:hAnsi="Tahoma"/>
        <w:spacing w:val="10"/>
        <w:sz w:val="20"/>
        <w:lang w:eastAsia="lt-LT"/>
      </w:rPr>
    </w:pPr>
    <w:r>
      <w:rPr>
        <w:rFonts w:ascii="Tahoma" w:hAnsi="Tahoma"/>
        <w:spacing w:val="10"/>
        <w:sz w:val="20"/>
        <w:lang w:eastAsia="lt-LT"/>
      </w:rPr>
      <w:fldChar w:fldCharType="begin"/>
    </w:r>
    <w:r>
      <w:rPr>
        <w:rFonts w:ascii="Tahoma" w:hAnsi="Tahoma"/>
        <w:spacing w:val="10"/>
        <w:sz w:val="20"/>
        <w:lang w:eastAsia="lt-LT"/>
      </w:rPr>
      <w:instrText>PAGE   \* MERGEFORMAT</w:instrText>
    </w:r>
    <w:r>
      <w:rPr>
        <w:rFonts w:ascii="Tahoma" w:hAnsi="Tahoma"/>
        <w:spacing w:val="10"/>
        <w:sz w:val="20"/>
        <w:lang w:eastAsia="lt-LT"/>
      </w:rPr>
      <w:fldChar w:fldCharType="separate"/>
    </w:r>
    <w:r w:rsidR="003B006C">
      <w:rPr>
        <w:rFonts w:ascii="Tahoma" w:hAnsi="Tahoma"/>
        <w:noProof/>
        <w:spacing w:val="10"/>
        <w:sz w:val="20"/>
        <w:lang w:eastAsia="lt-LT"/>
      </w:rPr>
      <w:t>2</w:t>
    </w:r>
    <w:r>
      <w:rPr>
        <w:rFonts w:ascii="Tahoma" w:hAnsi="Tahoma"/>
        <w:spacing w:val="10"/>
        <w:sz w:val="20"/>
        <w:lang w:eastAsia="lt-LT"/>
      </w:rPr>
      <w:fldChar w:fldCharType="end"/>
    </w:r>
  </w:p>
  <w:p w:rsidR="00F03C71" w:rsidRDefault="00F03C71">
    <w:pPr>
      <w:tabs>
        <w:tab w:val="left" w:pos="3344"/>
        <w:tab w:val="left" w:pos="8291"/>
      </w:tabs>
      <w:suppressAutoHyphens/>
      <w:spacing w:before="120" w:after="60"/>
      <w:ind w:left="-17" w:firstLine="17"/>
      <w:jc w:val="center"/>
      <w:rPr>
        <w:b/>
        <w:bCs/>
        <w:lang w:eastAsia="lt-LT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defaultTabStop w:val="720"/>
  <w:hyphenationZone w:val="396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14E"/>
    <w:rsid w:val="003B006C"/>
    <w:rsid w:val="00991202"/>
    <w:rsid w:val="00E3114E"/>
    <w:rsid w:val="00F03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lang w:val="lt-LT" w:eastAsia="en-US" w:bidi="ar-SA"/>
      </w:rPr>
    </w:rPrDefault>
    <w:pPrDefault/>
  </w:docDefaults>
  <w:latentStyles w:defLockedState="0" w:defUIPriority="0" w:defSemiHidden="0" w:defUnhideWhenUsed="0" w:defQFormat="0" w:count="371"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prastasis">
    <w:name w:val="Normal"/>
    <w:qFormat/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styleId="Vietosrezervavimoenklotekstas">
    <w:name w:val="Placeholder Text"/>
    <w:basedOn w:val="Numatytasispastraiposriftas"/>
    <w:rsid w:val="0099120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?>

<Relationships xmlns="http://schemas.openxmlformats.org/package/2006/relationships">
  <Relationship Id="rId1" Type="http://schemas.openxmlformats.org/officeDocument/2006/relationships/customXml" Target="../customXml/item1.xml"/>
  <Relationship Id="rId10" Type="http://schemas.openxmlformats.org/officeDocument/2006/relationships/endnotes" Target="endnotes.xml"/>
  <Relationship Id="rId11" Type="http://schemas.openxmlformats.org/officeDocument/2006/relationships/image" Target="media/image1.png"/>
  <Relationship Id="rId12" Type="http://schemas.openxmlformats.org/officeDocument/2006/relationships/header" Target="header1.xml"/>
  <Relationship Id="rId13" Type="http://schemas.openxmlformats.org/officeDocument/2006/relationships/fontTable" Target="fontTable.xml"/>
  <Relationship Id="rId14" Type="http://schemas.openxmlformats.org/officeDocument/2006/relationships/glossaryDocument" Target="glossary/document.xml"/>
  <Relationship Id="rId15" Type="http://schemas.openxmlformats.org/officeDocument/2006/relationships/theme" Target="theme/theme1.xml"/>
  <Relationship Id="rId2" Type="http://schemas.openxmlformats.org/officeDocument/2006/relationships/customXml" Target="../customXml/item2.xml"/>
  <Relationship Id="rId3" Type="http://schemas.openxmlformats.org/officeDocument/2006/relationships/customXml" Target="../customXml/item3.xml"/>
  <Relationship Id="rId5" Type="http://schemas.openxmlformats.org/officeDocument/2006/relationships/customXml" Target="../customXml/item5.xml"/>
  <Relationship Id="rId6" Type="http://schemas.openxmlformats.org/officeDocument/2006/relationships/styles" Target="styles.xml"/>
  <Relationship Id="rId7" Type="http://schemas.openxmlformats.org/officeDocument/2006/relationships/settings" Target="settings.xml"/>
  <Relationship Id="rId8" Type="http://schemas.openxmlformats.org/officeDocument/2006/relationships/webSettings" Target="webSettings.xml"/>
  <Relationship Id="rId9" Type="http://schemas.openxmlformats.org/officeDocument/2006/relationships/footnotes" Target="footnotes.xml"/>
</Relationships>

</file>

<file path=word/glossary/_rels/document.xml.rels><?xml version="1.0" encoding="UTF-8"?>
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</Relationships>
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Bendrosios nuostatos"/>
          <w:gallery w:val="placeholder"/>
        </w:category>
        <w:types>
          <w:type w:val="bbPlcHdr"/>
        </w:types>
        <w:behaviors>
          <w:behavior w:val="content"/>
        </w:behaviors>
        <w:guid w:val="{D1B967BC-C7F4-47C7-8BC5-3DBD8AB29F41}"/>
      </w:docPartPr>
      <w:docPartBody>
        <w:p w:rsidR="00692A31" w:rsidRDefault="0035418E">
          <w:r w:rsidRPr="0014378D">
            <w:rPr>
              <w:rStyle w:val="Vietosrezervavimoenklotekstas"/>
            </w:rPr>
            <w:t>Norėdami įvesti tekstą, spustelėkite arba bakstelėkite čia.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EUAlbertina+01">
    <w:panose1 w:val="00000000000000000000"/>
    <w:charset w:val="BA"/>
    <w:family w:val="auto"/>
    <w:notTrueType/>
    <w:pitch w:val="default"/>
    <w:sig w:usb0="00000005" w:usb1="00000000" w:usb2="00000000" w:usb3="00000000" w:csb0="00000080" w:csb1="00000000"/>
  </w:font>
  <w:font w:name="EUAlbertina">
    <w:altName w:val="Times New Roman"/>
    <w:charset w:val="00"/>
    <w:family w:val="roman"/>
    <w:pitch w:val="default"/>
    <w:sig w:usb0="00000007" w:usb1="00000000" w:usb2="00000000" w:usb3="00000000" w:csb0="00000003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1296"/>
  <w:hyphenationZone w:val="396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18E"/>
    <w:rsid w:val="0035418E"/>
    <w:rsid w:val="00692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lt-LT" w:eastAsia="lt-L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prastasis">
    <w:name w:val="Normal"/>
    <w:qFormat/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styleId="Vietosrezervavimoenklotekstas">
    <w:name w:val="Placeholder Text"/>
    <w:basedOn w:val="Numatytasispastraiposriftas"/>
    <w:rsid w:val="0035418E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
<Relationships xmlns="http://schemas.openxmlformats.org/package/2006/relationships">
  <Relationship Id="rId1" Type="http://schemas.openxmlformats.org/officeDocument/2006/relationships/customXmlProps" Target="itemProps1.xml"/>
</Relationships>

</file>

<file path=customXml/_rels/item2.xml.rels><?xml version="1.0" encoding="UTF-8"?>

<Relationships xmlns="http://schemas.openxmlformats.org/package/2006/relationships">
  <Relationship Id="rId1" Type="http://schemas.openxmlformats.org/officeDocument/2006/relationships/customXmlProps" Target="itemProps2.xml"/>
</Relationships>

</file>

<file path=customXml/_rels/item3.xml.rels><?xml version="1.0" encoding="UTF-8"?>

<Relationships xmlns="http://schemas.openxmlformats.org/package/2006/relationships">
  <Relationship Id="rId1" Type="http://schemas.openxmlformats.org/officeDocument/2006/relationships/customXmlProps" Target="itemProps3.xml"/>
</Relationships>

</file>

<file path=customXml/_rels/item5.xml.rels><?xml version="1.0" encoding="UTF-8"?>

<Relationships xmlns="http://schemas.openxmlformats.org/package/2006/relationships">
  <Relationship Id="rId1" Type="http://schemas.openxmlformats.org/officeDocument/2006/relationships/customXmlProps" Target="itemProps5.xml"/>
</Relationships>

</file>

<file path=customXml/item1.xml><?xml version="1.0" encoding="utf-8"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3FDA964F1C275C4D86F2E57031B6AE29" ma:contentTypeVersion="14" ma:contentTypeDescription="Kurkite naują dokumentą." ma:contentTypeScope="" ma:versionID="b619d1e0116fb04bbec8ce1b8e5f0942">
  <xsd:schema xmlns:xsd="http://www.w3.org/2001/XMLSchema" xmlns:xs="http://www.w3.org/2001/XMLSchema" xmlns:p="http://schemas.microsoft.com/office/2006/metadata/properties" xmlns:ns2="58c6f6df-7e1f-4a2e-8979-e3f4c92e56f2" xmlns:ns3="2ad30025-d0d5-4532-b26e-26983efa1e1c" targetNamespace="http://schemas.microsoft.com/office/2006/metadata/properties" ma:root="true" ma:fieldsID="865de300c998d8684e2a1567bca03265" ns2:_="" ns3:_="">
    <xsd:import namespace="58c6f6df-7e1f-4a2e-8979-e3f4c92e56f2"/>
    <xsd:import namespace="2ad30025-d0d5-4532-b26e-26983efa1e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Numeri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c6f6df-7e1f-4a2e-8979-e3f4c92e56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Numeris" ma:index="19" nillable="true" ma:displayName="Numeris" ma:format="Dropdown" ma:internalName="Numeris" ma:percentage="FALSE">
      <xsd:simpleType>
        <xsd:restriction base="dms:Number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d30025-d0d5-4532-b26e-26983efa1e1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Bendrinama s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Bendrinta su išsamia informacija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="http://schemas.openxmlformats.org/package/2006/metadata/core-properties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xs="http://www.w3.org/2001/XMLSchema" xmlns:pc="http://schemas.microsoft.com/office/infopath/2007/PartnerControls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umeris xmlns="58c6f6df-7e1f-4a2e-8979-e3f4c92e56f2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1FB198-41D3-4EC3-AFD9-2277C8B0E21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4C617C7-64FC-40DA-9B4D-E274B5A43B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c6f6df-7e1f-4a2e-8979-e3f4c92e56f2"/>
    <ds:schemaRef ds:uri="2ad30025-d0d5-4532-b26e-26983efa1e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A71CDB-73C5-4841-972B-AF905D5930EA}">
  <ds:schemaRefs>
    <ds:schemaRef ds:uri="http://schemas.microsoft.com/office/2006/metadata/properties"/>
    <ds:schemaRef ds:uri="http://schemas.microsoft.com/office/infopath/2007/PartnerControls"/>
    <ds:schemaRef ds:uri="58c6f6df-7e1f-4a2e-8979-e3f4c92e56f2"/>
  </ds:schemaRefs>
</ds:datastoreItem>
</file>

<file path=customXml/itemProps5.xml><?xml version="1.0" encoding="utf-8"?>
<ds:datastoreItem xmlns:ds="http://schemas.openxmlformats.org/officeDocument/2006/customXml" ds:itemID="{B80A55D2-4CC4-41D8-9AB4-F17D8FCED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2502</Words>
  <Characters>1427</Characters>
  <Application>Microsoft Office Word</Application>
  <DocSecurity>0</DocSecurity>
  <Lines>11</Lines>
  <Paragraphs>7</Paragraphs>
  <ScaleCrop>false</ScaleCrop>
  <HeadingPairs>
    <vt:vector size="4" baseType="variant">
      <vt:variant>
        <vt:lpstr>Pavadinimas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3922</CharactersWithSpaces>
  <SharedDoc>false</SharedDoc>
  <HyperlinkBase/>
  <HyperlinksChanged>false</HyperlinksChanged>
  <AppVersion>16.0000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2022-04-22T17:00:00Z</dcterms:created>
  <dcterms:modified xsi:type="dcterms:W3CDTF">2022-04-22T17:18:00Z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0x0101003FDA964F1C275C4D86F2E57031B6AE29</vt:lpwstr>
  </property>
</Properties>
</file>