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461CA5" w14:textId="77777777" w:rsidR="00D01BC5" w:rsidRDefault="00D01BC5">
      <w:pPr>
        <w:tabs>
          <w:tab w:val="center" w:pos="4986"/>
          <w:tab w:val="right" w:pos="9972"/>
        </w:tabs>
      </w:pPr>
    </w:p>
    <w:p w14:paraId="5D13EC3D" w14:textId="77777777" w:rsidR="00D01BC5" w:rsidRDefault="00634429">
      <w:pPr>
        <w:suppressAutoHyphens/>
        <w:jc w:val="center"/>
        <w:rPr>
          <w:b/>
          <w:bCs/>
          <w:lang w:eastAsia="lt-LT"/>
        </w:rPr>
      </w:pPr>
      <w:r>
        <w:rPr>
          <w:noProof/>
          <w:lang w:eastAsia="ko-KR"/>
        </w:rPr>
        <w:drawing>
          <wp:inline distT="0" distB="0" distL="0" distR="0" wp14:anchorId="27C373B0" wp14:editId="1039EB5A">
            <wp:extent cx="520700" cy="622300"/>
            <wp:effectExtent l="19050" t="0" r="0" b="0"/>
            <wp:docPr id="1" name="Picture 1" descr="HERB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RB21"/>
                    <pic:cNvPicPr>
                      <a:picLocks noChangeAspect="1" noChangeArrowheads="1"/>
                    </pic:cNvPicPr>
                  </pic:nvPicPr>
                  <pic:blipFill>
                    <a:blip r:embed="rId11"/>
                    <a:srcRect/>
                    <a:stretch>
                      <a:fillRect/>
                    </a:stretch>
                  </pic:blipFill>
                  <pic:spPr bwMode="auto">
                    <a:xfrm>
                      <a:off x="0" y="0"/>
                      <a:ext cx="520700" cy="622300"/>
                    </a:xfrm>
                    <a:prstGeom prst="rect">
                      <a:avLst/>
                    </a:prstGeom>
                    <a:noFill/>
                    <a:ln w="9525">
                      <a:noFill/>
                      <a:miter lim="800000"/>
                      <a:headEnd/>
                      <a:tailEnd/>
                    </a:ln>
                  </pic:spPr>
                </pic:pic>
              </a:graphicData>
            </a:graphic>
          </wp:inline>
        </w:drawing>
      </w:r>
    </w:p>
    <w:p w14:paraId="605AD5F2" w14:textId="77777777" w:rsidR="00D01BC5" w:rsidRDefault="00D01BC5">
      <w:pPr>
        <w:jc w:val="center"/>
        <w:rPr>
          <w:sz w:val="10"/>
          <w:szCs w:val="10"/>
        </w:rPr>
      </w:pPr>
    </w:p>
    <w:p w14:paraId="17CE9370" w14:textId="77777777" w:rsidR="00D01BC5" w:rsidRDefault="00634429">
      <w:pPr>
        <w:suppressAutoHyphens/>
        <w:jc w:val="center"/>
        <w:rPr>
          <w:b/>
          <w:bCs/>
          <w:lang w:eastAsia="lt-LT"/>
        </w:rPr>
      </w:pPr>
      <w:r>
        <w:rPr>
          <w:b/>
          <w:bCs/>
          <w:lang w:eastAsia="lt-LT"/>
        </w:rPr>
        <w:t>LIETUVOS RESPUBLIKOS APLINKOS MINISTRAS</w:t>
      </w:r>
    </w:p>
    <w:p w14:paraId="6AFAE017" w14:textId="77777777" w:rsidR="00D01BC5" w:rsidRDefault="00D01BC5">
      <w:pPr>
        <w:jc w:val="center"/>
        <w:rPr>
          <w:sz w:val="6"/>
          <w:szCs w:val="6"/>
        </w:rPr>
      </w:pPr>
    </w:p>
    <w:p w14:paraId="3573B93C" w14:textId="77777777" w:rsidR="00D01BC5" w:rsidRDefault="00D01BC5">
      <w:pPr>
        <w:suppressAutoHyphens/>
        <w:jc w:val="center"/>
        <w:rPr>
          <w:b/>
          <w:bCs/>
          <w:lang w:eastAsia="lt-LT"/>
        </w:rPr>
      </w:pPr>
    </w:p>
    <w:p w14:paraId="3395F569" w14:textId="77777777" w:rsidR="00D01BC5" w:rsidRDefault="00D01BC5">
      <w:pPr>
        <w:jc w:val="center"/>
        <w:rPr>
          <w:sz w:val="6"/>
          <w:szCs w:val="6"/>
        </w:rPr>
      </w:pPr>
    </w:p>
    <w:p w14:paraId="1AF482FB" w14:textId="77777777" w:rsidR="00D01BC5" w:rsidRDefault="00634429">
      <w:pPr>
        <w:suppressAutoHyphens/>
        <w:jc w:val="center"/>
        <w:rPr>
          <w:b/>
          <w:bCs/>
          <w:lang w:eastAsia="lt-LT"/>
        </w:rPr>
      </w:pPr>
      <w:r>
        <w:rPr>
          <w:b/>
          <w:bCs/>
          <w:lang w:eastAsia="lt-LT"/>
        </w:rPr>
        <w:t>ĮSAKYMAS</w:t>
      </w:r>
    </w:p>
    <w:p w14:paraId="35ED5C35" w14:textId="77777777" w:rsidR="00D01BC5" w:rsidRDefault="00634429">
      <w:pPr>
        <w:jc w:val="center"/>
        <w:textAlignment w:val="baseline"/>
        <w:rPr>
          <w:b/>
          <w:bCs/>
          <w:caps/>
          <w:szCs w:val="24"/>
          <w:lang w:eastAsia="en-GB"/>
        </w:rPr>
      </w:pPr>
      <w:r>
        <w:rPr>
          <w:b/>
          <w:bCs/>
          <w:caps/>
          <w:szCs w:val="24"/>
          <w:lang w:eastAsia="en-GB"/>
        </w:rPr>
        <w:t>DĖL LIETUVOS RESPUBLIKOS APLINKOS MINISTRO 2024 M. SPALIO 16 D.</w:t>
      </w:r>
    </w:p>
    <w:p w14:paraId="6DF73272" w14:textId="77777777" w:rsidR="00D01BC5" w:rsidRDefault="00634429">
      <w:pPr>
        <w:jc w:val="center"/>
        <w:textAlignment w:val="baseline"/>
        <w:rPr>
          <w:rFonts w:ascii="Segoe UI" w:hAnsi="Segoe UI" w:cs="Segoe UI"/>
          <w:b/>
          <w:bCs/>
          <w:szCs w:val="24"/>
          <w:lang w:eastAsia="en-GB"/>
        </w:rPr>
      </w:pPr>
      <w:r>
        <w:rPr>
          <w:b/>
          <w:bCs/>
          <w:caps/>
          <w:szCs w:val="24"/>
          <w:lang w:eastAsia="en-GB"/>
        </w:rPr>
        <w:t>ĮSAKYMO NR.</w:t>
      </w:r>
      <w:r>
        <w:rPr>
          <w:b/>
          <w:bCs/>
          <w:caps/>
          <w:szCs w:val="24"/>
          <w:lang w:val="en-GB" w:eastAsia="en-GB"/>
        </w:rPr>
        <w:t xml:space="preserve"> D1-339 „dėl VALSTYBĖS PARAMOS DAUGIABUČIAMS NAMAMS ATNAUJINTI (MODERNIZUOTI) TEIKIMO IR DAUGIABUČIŲ NAMŲ ATNAUJINIMO (MODERNIZAVIMO) PROJEKTŲ ĮGYVENDINIMO PRIEŽIŪROS TAISYKLIŲ PATVIRTINIMO IR DAUGIABUČIO NAMO ATNAUJINIMO (MODERNIZAVIMO) PROJEKTUI ĮGYVENDI</w:t>
      </w:r>
      <w:r>
        <w:rPr>
          <w:b/>
          <w:bCs/>
          <w:caps/>
          <w:szCs w:val="24"/>
          <w:lang w:val="en-GB" w:eastAsia="en-GB"/>
        </w:rPr>
        <w:t>NTI SKIRTO KAUPIAMOJO ĮNAŠO IR (AR) KITŲ ĮMOKŲ DIDŽIAUSIOS MĖNESINĖS ĮMOKOS NUSTATYMO</w:t>
      </w:r>
      <w:r>
        <w:rPr>
          <w:b/>
          <w:bCs/>
          <w:szCs w:val="24"/>
          <w:shd w:val="clear" w:color="auto" w:fill="FFFFFF"/>
          <w:lang w:eastAsia="lt-LT"/>
        </w:rPr>
        <w:t>“ PAKEITIMO</w:t>
      </w:r>
    </w:p>
    <w:p w14:paraId="44056862" w14:textId="77777777" w:rsidR="00D01BC5" w:rsidRDefault="00D01BC5">
      <w:pPr>
        <w:suppressAutoHyphens/>
        <w:jc w:val="center"/>
        <w:rPr>
          <w:b/>
          <w:lang w:eastAsia="lt-LT"/>
        </w:rPr>
      </w:pPr>
    </w:p>
    <w:p w14:paraId="1E8256EA" w14:textId="60FFBA65" w:rsidR="00D01BC5" w:rsidRDefault="00634429">
      <w:pPr>
        <w:suppressAutoHyphens/>
        <w:jc w:val="center"/>
        <w:rPr>
          <w:szCs w:val="24"/>
          <w:lang w:eastAsia="lt-LT"/>
        </w:rPr>
      </w:pPr>
      <w:r>
        <w:rPr>
          <w:lang w:eastAsia="lt-LT"/>
        </w:rPr>
        <w:t>2025 m. balandžio 28 d.</w:t>
      </w:r>
      <w:r>
        <w:rPr>
          <w:lang w:eastAsia="lt-LT"/>
        </w:rPr>
        <w:t xml:space="preserve"> Nr. D1-51</w:t>
      </w:r>
    </w:p>
    <w:p w14:paraId="094D0449" w14:textId="77777777" w:rsidR="00D01BC5" w:rsidRDefault="00634429">
      <w:pPr>
        <w:suppressAutoHyphens/>
        <w:jc w:val="center"/>
        <w:rPr>
          <w:lang w:eastAsia="lt-LT"/>
        </w:rPr>
      </w:pPr>
      <w:r>
        <w:rPr>
          <w:lang w:eastAsia="lt-LT"/>
        </w:rPr>
        <w:t>Vilnius</w:t>
      </w:r>
    </w:p>
    <w:p w14:paraId="1B3EF99D" w14:textId="77777777" w:rsidR="00D01BC5" w:rsidRDefault="00D01BC5">
      <w:pPr>
        <w:suppressAutoHyphens/>
        <w:jc w:val="center"/>
        <w:rPr>
          <w:spacing w:val="8"/>
          <w:szCs w:val="24"/>
          <w:lang w:eastAsia="lt-LT"/>
        </w:rPr>
      </w:pPr>
    </w:p>
    <w:p w14:paraId="1D1A25A8" w14:textId="77777777" w:rsidR="00D01BC5" w:rsidRDefault="00634429">
      <w:pPr>
        <w:spacing w:line="276" w:lineRule="auto"/>
        <w:ind w:firstLine="720"/>
        <w:jc w:val="both"/>
        <w:rPr>
          <w:szCs w:val="24"/>
        </w:rPr>
      </w:pPr>
      <w:r>
        <w:rPr>
          <w:szCs w:val="24"/>
        </w:rPr>
        <w:t>P a k e i č i u</w:t>
      </w:r>
      <w:r>
        <w:rPr>
          <w:bCs/>
          <w:szCs w:val="24"/>
          <w:shd w:val="clear" w:color="auto" w:fill="FFFFFF"/>
        </w:rPr>
        <w:t xml:space="preserve"> </w:t>
      </w:r>
      <w:r>
        <w:t>Valstybės paramos daugiabučiams namams atnaujinti (modernizuoti) teikimo ir daugiabučių</w:t>
      </w:r>
      <w:r>
        <w:t xml:space="preserve"> namų atnaujinimo (modernizavimo) projektų įgyvendinimo priežiūros taisykles</w:t>
      </w:r>
      <w:r>
        <w:rPr>
          <w:bCs/>
        </w:rPr>
        <w:t xml:space="preserve">, patvirtintas </w:t>
      </w:r>
      <w:r>
        <w:rPr>
          <w:bCs/>
          <w:szCs w:val="24"/>
          <w:shd w:val="clear" w:color="auto" w:fill="FFFFFF"/>
        </w:rPr>
        <w:t xml:space="preserve">Lietuvos Respublikos aplinkos ministro </w:t>
      </w:r>
      <w:r>
        <w:t>2024 m. spalio 16 d.</w:t>
      </w:r>
      <w:r>
        <w:rPr>
          <w:bCs/>
          <w:szCs w:val="24"/>
          <w:shd w:val="clear" w:color="auto" w:fill="FFFFFF"/>
        </w:rPr>
        <w:t xml:space="preserve"> įsakymu Nr. D1-339 „Dėl Valstybės paramos daugiabučiams namams atnaujinti (modernizuoti) teikimo ir daugi</w:t>
      </w:r>
      <w:r>
        <w:rPr>
          <w:bCs/>
          <w:szCs w:val="24"/>
          <w:shd w:val="clear" w:color="auto" w:fill="FFFFFF"/>
        </w:rPr>
        <w:t>abučių namų atnaujinimo (modernizavimo) projektų įgyvendinimo priežiūros taisyklių patvirtinimo ir daugiabučio namo atnaujinimo (modernizavimo) projektui įgyvendinti skirto kaupiamojo įnašo ir (ar) kitų įmokų didžiausios mėnesinės įmokos nustatymo</w:t>
      </w:r>
      <w:r>
        <w:rPr>
          <w:bCs/>
        </w:rPr>
        <w:t>“</w:t>
      </w:r>
      <w:r>
        <w:rPr>
          <w:szCs w:val="24"/>
        </w:rPr>
        <w:t>:</w:t>
      </w:r>
    </w:p>
    <w:p w14:paraId="0F235F13" w14:textId="77777777" w:rsidR="00D01BC5" w:rsidRDefault="00634429">
      <w:pPr>
        <w:spacing w:line="276" w:lineRule="auto"/>
        <w:ind w:firstLine="720"/>
        <w:jc w:val="both"/>
      </w:pPr>
      <w:r>
        <w:t>1</w:t>
      </w:r>
      <w:r>
        <w:t>.</w:t>
      </w:r>
      <w:r>
        <w:t xml:space="preserve"> Pakeičiu 2 punktą ir jį išdėstau taip:</w:t>
      </w:r>
    </w:p>
    <w:p w14:paraId="5B03027D" w14:textId="63E701D7" w:rsidR="00D01BC5" w:rsidRDefault="00634429">
      <w:pPr>
        <w:shd w:val="clear" w:color="auto" w:fill="FFFFFF"/>
        <w:tabs>
          <w:tab w:val="left" w:pos="993"/>
          <w:tab w:val="left" w:pos="1276"/>
          <w:tab w:val="left" w:pos="1418"/>
          <w:tab w:val="left" w:pos="6236"/>
          <w:tab w:val="right" w:pos="8306"/>
        </w:tabs>
        <w:spacing w:line="276" w:lineRule="auto"/>
        <w:ind w:firstLine="709"/>
        <w:jc w:val="both"/>
      </w:pPr>
      <w:r>
        <w:t>„</w:t>
      </w:r>
      <w:r>
        <w:t>2</w:t>
      </w:r>
      <w:r>
        <w:t>.</w:t>
      </w:r>
      <w:r>
        <w:tab/>
      </w:r>
      <w:r>
        <w:t>Valstybės parama laikantis Taisyklių teikiama daugiabučių namų, pastatytų pagal statybos leidimus, išduotus iki 1993 metų, butų ir kitų patalpų savininkams, parengusiems ir įgyvendinantiems daugiab</w:t>
      </w:r>
      <w:bookmarkStart w:id="0" w:name="_GoBack"/>
      <w:bookmarkEnd w:id="0"/>
      <w:r>
        <w:t>učio namo atnaujinimo (modernizavimo) projektą pagal Lietuv</w:t>
      </w:r>
      <w:r>
        <w:t>os Respublikos valstybės paramos daugiabučiams namams atnaujinti (modernizuoti) įstatymą (toliau  – Įstatymas), Daugiabučių namų atnaujinimo (modernizavimo) programą, patvirtintą Lietuvos Respublikos Vyriausybės 2004 m. rugsėjo 23 d. nutarimu Nr. 1213 „Dėl</w:t>
      </w:r>
      <w:r>
        <w:t xml:space="preserve"> Daugiabučių namų atnaujinimo (modernizavimo) programos patvirtinimo“ (toliau – Programa), ar ją atitinkančias savivaldybių programas ir (ar) siektinus 2021–2030 metų daugiabučių namų atnaujinimo (modernizavimo) tikslus, uždavinius ir rodiklius, nustatytus</w:t>
      </w:r>
      <w:r>
        <w:t xml:space="preserve"> 2021–2030 metų nacionaliniame pažangos plane, patvirtintame Lietuvos Respublikos Vyriausybės 2020 m. rugsėjo 9 d. nutarimu Nr. 998 „Dėl 2021–2030 metų nacionalinio pažangos plano patvirtinimo“ (toliau – Plėtros programa), pagal Lietuvos Respublikos aplink</w:t>
      </w:r>
      <w:r>
        <w:t>os ministro 2024 m. spalio 16 d. įsakymą Nr. D1-339 „Dėl Valstybės paramos daugiabučiams namams atnaujinti (modernizuoti) teikimo ir daugiabučių namų atnaujinimo (modernizavimo) projektų įgyvendinimo priežiūros taisyklių patvirtinimo ir daugiabučio namo at</w:t>
      </w:r>
      <w:r>
        <w:t xml:space="preserve">naujinimo (modernizavimo) projektui įgyvendinti skirto kaupiamojo įnašo ir (ar) kitų įmokų didžiausios mėnesinės įmokos nustatymo“ (toliau – Įsakymas), Taisykles, pagal 2022–2030 metų plėtros programos valdytojos Lietuvos Respublikos aplinkos ministerijos </w:t>
      </w:r>
      <w:r>
        <w:t>aplinkos apsaugos ir klimato kaitos valdymo plėtros programos pažangos priemonės Nr. 02-001-06-04-01 „Skatinti pastatų renovaciją“ apraše, patvirtintame Lietuvos Respublikos aplinkos ministro 2022 m. liepos 25 d. įsakymu Nr. D1-239 „Dėl 2022–2030 metų plėt</w:t>
      </w:r>
      <w:r>
        <w:t xml:space="preserve">ros programos valdytojos Lietuvos Respublikos aplinkos ministerijos aplinkos apsaugos ir klimato kaitos valdymo plėtros programos pažangos </w:t>
      </w:r>
      <w:r>
        <w:lastRenderedPageBreak/>
        <w:t>priemonės  Nr. 02-001-06-04-01 „Skatinti pastatų renovaciją“ įgyvendinimo“, nustatytas valdytojos Lietuvos Respubliko</w:t>
      </w:r>
      <w:r>
        <w:t>s aplinkos ministerijos aplinkos apsaugos ir klimato kaitos valdymo plėtros programos pažangos priemonės Nr. 02-001-06-04-01 „Skatinti pastatų renovaciją“ veiklas, pagal Daugiabučio namo atnaujinimo (modernizavimo) investicijų plano rengimo tvarkos aprašą,</w:t>
      </w:r>
      <w:r>
        <w:t xml:space="preserve"> patvirtintą Lietuvos Respublikos aplinkos ministro 2024 m. spalio 28 d. įsakymu Nr. D1-363 „Dėl Daugiabučio namo atnaujinimo (modernizavimo) investicijų plano rengimo tvarkos aprašo patvirtinimo“ (toliau – Investicijų plano  rengimo tvarkos aprašas), paga</w:t>
      </w:r>
      <w:r>
        <w:t xml:space="preserve">l </w:t>
      </w:r>
      <w:r>
        <w:rPr>
          <w:rFonts w:eastAsia="Calibri"/>
        </w:rPr>
        <w:t>Paraiškų atnaujinti (modernizuoti) daugiabutį namą</w:t>
      </w:r>
      <w:r>
        <w:t xml:space="preserve"> teikimo, vertinimo ir atrankos tvarkos aprašą, patvirtintą Lietuvos Respublikos aplinkos ministro 2015 m. balandžio 1 d. įsakymu Nr. D1-267 „Dėl </w:t>
      </w:r>
      <w:r>
        <w:rPr>
          <w:rFonts w:eastAsia="Calibri"/>
        </w:rPr>
        <w:t xml:space="preserve">Paraiškų atnaujinti (modernizuoti) daugiabutį namą </w:t>
      </w:r>
      <w:r>
        <w:t>teikimo</w:t>
      </w:r>
      <w:r>
        <w:t>, vertinimo ir atrankos tvarkos aprašo patvirtinimo“ (toliau – Paraiškų teikimo ir atrankos tvarkos aprašas), pagal Subjektų, kurie nėra perkančiosios organizacijos pagal Lietuvos Respublikos viešųjų pirkimų įstatymą ir nėra perkantieji subjektai pagal Lie</w:t>
      </w:r>
      <w:r>
        <w:t xml:space="preserve">tuvos Respublikos pirkimų, atliekamų </w:t>
      </w:r>
      <w:proofErr w:type="spellStart"/>
      <w:r>
        <w:t>vandentvarkos</w:t>
      </w:r>
      <w:proofErr w:type="spellEnd"/>
      <w:r>
        <w:t>, energetikos, transporto ar pašto paslaugų srities perkančiųjų subjektų, įstatymą, pirkimų vykdymo tvarkos aprašą, patvirtintą Lietuvos Respublikos aplinkos ministro 2010 m. rugsėjo 14 d. įsakymu Nr. D1-76</w:t>
      </w:r>
      <w:r>
        <w:t xml:space="preserve">2 </w:t>
      </w:r>
      <w:r>
        <w:rPr>
          <w:shd w:val="clear" w:color="auto" w:fill="FFFFFF"/>
        </w:rPr>
        <w:t>„Dėl S</w:t>
      </w:r>
      <w:r>
        <w:t xml:space="preserve">ubjektų, kurie nėra perkančiosios organizacijos pagal Lietuvos Respublikos viešųjų pirkimų įstatymą ir nėra perkantieji subjektai pagal Lietuvos Respublikos pirkimų, atliekamų </w:t>
      </w:r>
      <w:proofErr w:type="spellStart"/>
      <w:r>
        <w:t>vandentvarkos</w:t>
      </w:r>
      <w:proofErr w:type="spellEnd"/>
      <w:r>
        <w:t>, energetikos, transporto ar pašto paslaugų srities perkanč</w:t>
      </w:r>
      <w:r>
        <w:t>iųjų subjektų, įstatymą, pirkimų vykdymo tvarkos aprašo patvirtinimo“ (toliau – Paslaugų ir statybos rangos darbų pirkimo tvarkos aprašas), ir pagal Valstybės pagalbos, tenkančios ūkinę veiklą vykdančiam buto ar kitos patalpos savininkui, įgyvendinančiam d</w:t>
      </w:r>
      <w:r>
        <w:t xml:space="preserve">augiabučio namo atnaujinimo (modernizavimo) projektą, apskaičiavimo tvarkos aprašą, patvirtintą Lietuvos Respublikos aplinkos ministerijos Aplinkos projektų valdymo agentūros (toliau – Agentūra)  direktoriaus įsakymu.“ </w:t>
      </w:r>
    </w:p>
    <w:p w14:paraId="1D836428" w14:textId="3A2EC401" w:rsidR="00D01BC5" w:rsidRDefault="00634429">
      <w:pPr>
        <w:spacing w:line="276" w:lineRule="auto"/>
        <w:ind w:firstLine="720"/>
        <w:jc w:val="both"/>
        <w:rPr>
          <w:color w:val="000000"/>
        </w:rPr>
      </w:pPr>
      <w:r>
        <w:rPr>
          <w:color w:val="000000"/>
        </w:rPr>
        <w:t>2</w:t>
      </w:r>
      <w:r>
        <w:rPr>
          <w:color w:val="000000"/>
        </w:rPr>
        <w:t>. Pakeičiu 5 punktą ir jį i</w:t>
      </w:r>
      <w:r>
        <w:rPr>
          <w:color w:val="000000"/>
        </w:rPr>
        <w:t>šdėstau taip:</w:t>
      </w:r>
    </w:p>
    <w:p w14:paraId="7A890CC0" w14:textId="3E5158CA" w:rsidR="00D01BC5" w:rsidRDefault="00634429">
      <w:pPr>
        <w:shd w:val="clear" w:color="auto" w:fill="FFFFFF"/>
        <w:tabs>
          <w:tab w:val="left" w:pos="993"/>
          <w:tab w:val="left" w:pos="1276"/>
          <w:tab w:val="left" w:pos="1418"/>
          <w:tab w:val="left" w:pos="6236"/>
          <w:tab w:val="right" w:pos="8306"/>
        </w:tabs>
        <w:spacing w:line="276" w:lineRule="auto"/>
        <w:ind w:firstLine="709"/>
        <w:jc w:val="both"/>
      </w:pPr>
      <w:r>
        <w:t>„</w:t>
      </w:r>
      <w:r>
        <w:t>5</w:t>
      </w:r>
      <w:r>
        <w:t>.</w:t>
      </w:r>
      <w:r>
        <w:tab/>
        <w:t xml:space="preserve">Daugiabučio namo naudingasis plotas apskaičiuojamas susumavus daugiabučiame name esamų butų ir (ar) kitų patalpų naudingąjį plotą. </w:t>
      </w:r>
      <w:r>
        <w:rPr>
          <w:szCs w:val="24"/>
        </w:rPr>
        <w:t>Jeigu kitų patalpų naudingasis plotas Nekilnojamojo turto registro išraše neįrašytas</w:t>
      </w:r>
      <w:r>
        <w:t>, laikoma, kad jų nau</w:t>
      </w:r>
      <w:r>
        <w:t>dingasis plotas yra lygus apskaičiuotam bendrajam šių patalpų plotui. Kitos patalpos suprantamos taip, kaip apibrėžtos   Daugiabučių gyvenamųjų namų ir kitos paskirties pastatų savininkų bendrijų įstatyme.“</w:t>
      </w:r>
    </w:p>
    <w:p w14:paraId="6ED44ACB" w14:textId="77777777" w:rsidR="00D01BC5" w:rsidRDefault="00634429">
      <w:pPr>
        <w:spacing w:line="276" w:lineRule="auto"/>
        <w:ind w:firstLine="720"/>
        <w:jc w:val="both"/>
        <w:rPr>
          <w:color w:val="000000"/>
          <w:szCs w:val="24"/>
        </w:rPr>
      </w:pPr>
      <w:r>
        <w:rPr>
          <w:szCs w:val="24"/>
        </w:rPr>
        <w:t>3</w:t>
      </w:r>
      <w:r>
        <w:rPr>
          <w:szCs w:val="24"/>
        </w:rPr>
        <w:t xml:space="preserve">. </w:t>
      </w:r>
      <w:r>
        <w:rPr>
          <w:color w:val="000000"/>
          <w:szCs w:val="24"/>
        </w:rPr>
        <w:t>Pakeičiu 7 punktą ir jį išdėstau taip:</w:t>
      </w:r>
    </w:p>
    <w:p w14:paraId="6146391E" w14:textId="3B89CFC0" w:rsidR="00D01BC5" w:rsidRDefault="00634429">
      <w:pPr>
        <w:spacing w:line="276" w:lineRule="auto"/>
        <w:ind w:firstLine="720"/>
        <w:jc w:val="both"/>
        <w:rPr>
          <w:color w:val="000000"/>
        </w:rPr>
      </w:pPr>
      <w:r>
        <w:t>„</w:t>
      </w:r>
      <w:r>
        <w:t>7</w:t>
      </w:r>
      <w:r>
        <w:t>. Valstybės parama daugiabučiams namams atnaujinti (modernizuoti) teikiama pasirašius Programos įgyvendinimą administruojančios ir valstybės paramą teikiančios Agentūros</w:t>
      </w:r>
      <w:r>
        <w:rPr>
          <w:b/>
          <w:bCs/>
        </w:rPr>
        <w:t xml:space="preserve"> </w:t>
      </w:r>
      <w:r>
        <w:t>nustatytos formos valstybės paramos sutartį, kurią sudaro specialioji ir bendroji</w:t>
      </w:r>
      <w:r>
        <w:t xml:space="preserve"> sutarties dalys. Valstybės paramos sutartį pasirašo Agentūra ir daugiabučio namo atnaujinimo (modernizavimo) projekto administratorius (toliau – projekto administratorius). Bendroji valstybės paramos sutarties dalis skelbiama Agentūros interneto svetainėj</w:t>
      </w:r>
      <w:r>
        <w:t>e arba projekto administratoriaus prašymu įteikiama projekto administratoriui iki valstybės paramos sutarties pasirašymo ar ją pasirašant. Valstybės paramos sutartyje turi būti nurodytos sutarties šalys (kodas Juridinių asmenų registre, juridinio asmens bu</w:t>
      </w:r>
      <w:r>
        <w:t>veinės adresas, telefonas, el. pašto adresas, pareigų pavadinimas, vardas ir pavardė arba vardas ir pavardė, asmens kodas, gyvenamosios vietos adresas, telefonas, el. pašto adresas), sutarties teisinis pagrindas, sutarties dalykas, projekto įgyvendinimo te</w:t>
      </w:r>
      <w:r>
        <w:t xml:space="preserve">rminas, valstybės paramos grąžinimo sąlygos, valstybės paramos teikimo reikalavimai, valstybės pagalbos ir (ar) nereikšmingos </w:t>
      </w:r>
      <w:r>
        <w:rPr>
          <w:i/>
          <w:iCs/>
        </w:rPr>
        <w:t xml:space="preserve">(de </w:t>
      </w:r>
      <w:proofErr w:type="spellStart"/>
      <w:r>
        <w:rPr>
          <w:i/>
          <w:iCs/>
        </w:rPr>
        <w:t>minimis</w:t>
      </w:r>
      <w:proofErr w:type="spellEnd"/>
      <w:r>
        <w:t>) pagalbos teikimo sąlygos ir tvarka, sutarties šalių teisės ir pareigos, sutarties keitimas, nutraukimas ir pabaigimas</w:t>
      </w:r>
      <w:r>
        <w:t>, ginčų sprendimo tvarka ir kitos sąlygos.“</w:t>
      </w:r>
    </w:p>
    <w:p w14:paraId="76BB1882" w14:textId="55A23C2D" w:rsidR="00D01BC5" w:rsidRDefault="00634429">
      <w:pPr>
        <w:spacing w:line="276" w:lineRule="auto"/>
        <w:ind w:firstLine="720"/>
        <w:jc w:val="both"/>
        <w:rPr>
          <w:color w:val="000000"/>
          <w:szCs w:val="24"/>
        </w:rPr>
      </w:pPr>
      <w:r>
        <w:rPr>
          <w:szCs w:val="24"/>
        </w:rPr>
        <w:t>4</w:t>
      </w:r>
      <w:r>
        <w:rPr>
          <w:szCs w:val="24"/>
        </w:rPr>
        <w:t xml:space="preserve">. </w:t>
      </w:r>
      <w:r>
        <w:rPr>
          <w:color w:val="000000"/>
          <w:szCs w:val="24"/>
        </w:rPr>
        <w:t>Pakeičiu 31 punktą ir jį išdėstau taip:</w:t>
      </w:r>
    </w:p>
    <w:p w14:paraId="02A82FB0" w14:textId="1417EFE0" w:rsidR="00D01BC5" w:rsidRDefault="00634429">
      <w:pPr>
        <w:shd w:val="clear" w:color="auto" w:fill="FFFFFF"/>
        <w:spacing w:line="276" w:lineRule="auto"/>
        <w:ind w:firstLine="720"/>
        <w:jc w:val="both"/>
      </w:pPr>
      <w:r>
        <w:t>„</w:t>
      </w:r>
      <w:r>
        <w:t>31</w:t>
      </w:r>
      <w:r>
        <w:t>.</w:t>
      </w:r>
      <w:r>
        <w:tab/>
        <w:t>Daugiabučių namų atnaujinimo (modernizavimo) investicijų planai rengiami Aplinkos projektų valdymo informacinėje sistemoje (toliau – APVIS ) Investicijų p</w:t>
      </w:r>
      <w:r>
        <w:t>lano rengimo tvarkos apraše nustatyta tvarka, net jei Taisyklių 8 punkte nurodytas kvietimas nepaskelbtas. Investicijų planą gali rengti specialistas, turintis pastatų energinio naudingumo sertifikavimo eksperto kvalifikacijos atestatą ir (ar) energijos va</w:t>
      </w:r>
      <w:r>
        <w:t>rtojimo pastatuose auditui atlikti auditoriaus kvalifikacijos atestatą ir (ar) įtrauktas į viešosios įstaigos Statybos sektoriaus vystymo agentūros investicinių planų rengėjų sąrašą.“</w:t>
      </w:r>
    </w:p>
    <w:p w14:paraId="3456799B" w14:textId="086875B8" w:rsidR="00D01BC5" w:rsidRDefault="00634429">
      <w:pPr>
        <w:spacing w:line="276" w:lineRule="auto"/>
        <w:ind w:firstLine="720"/>
        <w:jc w:val="both"/>
        <w:rPr>
          <w:color w:val="000000"/>
          <w:szCs w:val="24"/>
          <w:lang w:val="en-US"/>
        </w:rPr>
      </w:pPr>
      <w:r>
        <w:rPr>
          <w:szCs w:val="24"/>
        </w:rPr>
        <w:t>5</w:t>
      </w:r>
      <w:r>
        <w:rPr>
          <w:szCs w:val="24"/>
        </w:rPr>
        <w:t xml:space="preserve">. </w:t>
      </w:r>
      <w:r>
        <w:rPr>
          <w:color w:val="000000"/>
          <w:szCs w:val="24"/>
        </w:rPr>
        <w:t>Pakeičiu 42 punktą ir jį išdėstau taip:</w:t>
      </w:r>
    </w:p>
    <w:p w14:paraId="5416BDD6" w14:textId="58F4107C" w:rsidR="00D01BC5" w:rsidRDefault="00634429">
      <w:pPr>
        <w:shd w:val="clear" w:color="auto" w:fill="FFFFFF"/>
        <w:tabs>
          <w:tab w:val="left" w:pos="1134"/>
          <w:tab w:val="left" w:pos="1418"/>
          <w:tab w:val="left" w:pos="1701"/>
          <w:tab w:val="left" w:pos="1985"/>
          <w:tab w:val="left" w:pos="6236"/>
          <w:tab w:val="right" w:pos="8306"/>
        </w:tabs>
        <w:spacing w:line="276" w:lineRule="auto"/>
        <w:ind w:firstLine="709"/>
        <w:jc w:val="both"/>
        <w:rPr>
          <w:szCs w:val="24"/>
        </w:rPr>
      </w:pPr>
      <w:r>
        <w:rPr>
          <w:szCs w:val="24"/>
        </w:rPr>
        <w:t>„</w:t>
      </w:r>
      <w:r>
        <w:rPr>
          <w:color w:val="000000"/>
          <w:szCs w:val="24"/>
        </w:rPr>
        <w:t>42</w:t>
      </w:r>
      <w:r>
        <w:rPr>
          <w:color w:val="000000"/>
          <w:szCs w:val="24"/>
        </w:rPr>
        <w:t>.</w:t>
      </w:r>
      <w:r>
        <w:tab/>
      </w:r>
      <w:r>
        <w:rPr>
          <w:color w:val="000000"/>
          <w:szCs w:val="24"/>
        </w:rPr>
        <w:t xml:space="preserve"> Lengvatinio kredito sutartį su finansuotoju butų ir kitų patalpų savininkų vardu arba savo vardu, veikiant daugiabučio namo butų ir kitų patalpų savininkų naudai, sudaro projekto administratorius.</w:t>
      </w:r>
      <w:r>
        <w:rPr>
          <w:szCs w:val="24"/>
        </w:rPr>
        <w:t>“</w:t>
      </w:r>
    </w:p>
    <w:p w14:paraId="2F22370D" w14:textId="348CC57C" w:rsidR="00D01BC5" w:rsidRDefault="00634429">
      <w:pPr>
        <w:shd w:val="clear" w:color="auto" w:fill="FFFFFF"/>
        <w:spacing w:line="276" w:lineRule="auto"/>
        <w:ind w:firstLine="720"/>
        <w:jc w:val="both"/>
        <w:rPr>
          <w:color w:val="000000"/>
        </w:rPr>
      </w:pPr>
      <w:r>
        <w:rPr>
          <w:szCs w:val="24"/>
        </w:rPr>
        <w:t>6</w:t>
      </w:r>
      <w:r>
        <w:rPr>
          <w:szCs w:val="24"/>
        </w:rPr>
        <w:t>.</w:t>
      </w:r>
      <w:r>
        <w:t xml:space="preserve"> Pakeičiu 2 priedo 6 punktą ir jį išdėstau taip</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2"/>
        <w:gridCol w:w="3297"/>
        <w:gridCol w:w="1104"/>
        <w:gridCol w:w="1103"/>
        <w:gridCol w:w="1103"/>
        <w:gridCol w:w="1103"/>
        <w:gridCol w:w="1105"/>
      </w:tblGrid>
      <w:tr w:rsidR="00D01BC5" w14:paraId="4A18211F" w14:textId="77777777">
        <w:trPr>
          <w:trHeight w:val="450"/>
        </w:trPr>
        <w:tc>
          <w:tcPr>
            <w:tcW w:w="421" w:type="pct"/>
            <w:tcMar>
              <w:top w:w="17" w:type="dxa"/>
              <w:left w:w="84" w:type="dxa"/>
              <w:right w:w="55" w:type="dxa"/>
            </w:tcMar>
            <w:vAlign w:val="center"/>
          </w:tcPr>
          <w:p w14:paraId="66F9313A" w14:textId="77777777" w:rsidR="00D01BC5" w:rsidRDefault="00634429">
            <w:pPr>
              <w:suppressAutoHyphens/>
              <w:spacing w:line="276" w:lineRule="auto"/>
              <w:jc w:val="center"/>
              <w:rPr>
                <w:sz w:val="22"/>
                <w:szCs w:val="22"/>
                <w:lang w:eastAsia="lt-LT"/>
              </w:rPr>
            </w:pPr>
            <w:r>
              <w:rPr>
                <w:sz w:val="22"/>
                <w:szCs w:val="22"/>
                <w:lang w:eastAsia="lt-LT"/>
              </w:rPr>
              <w:t>„6.</w:t>
            </w:r>
          </w:p>
        </w:tc>
        <w:tc>
          <w:tcPr>
            <w:tcW w:w="1712" w:type="pct"/>
            <w:shd w:val="clear" w:color="auto" w:fill="auto"/>
            <w:tcMar>
              <w:top w:w="17" w:type="dxa"/>
              <w:left w:w="84" w:type="dxa"/>
              <w:right w:w="55" w:type="dxa"/>
            </w:tcMar>
            <w:vAlign w:val="center"/>
          </w:tcPr>
          <w:p w14:paraId="00E27583" w14:textId="5C016FFD" w:rsidR="00D01BC5" w:rsidRDefault="00634429">
            <w:pPr>
              <w:suppressAutoHyphens/>
              <w:spacing w:line="276" w:lineRule="auto"/>
              <w:ind w:left="20"/>
              <w:rPr>
                <w:sz w:val="22"/>
                <w:szCs w:val="22"/>
                <w:lang w:eastAsia="lt-LT"/>
              </w:rPr>
            </w:pPr>
            <w:r>
              <w:rPr>
                <w:sz w:val="22"/>
                <w:szCs w:val="22"/>
                <w:lang w:eastAsia="lt-LT"/>
              </w:rPr>
              <w:t xml:space="preserve">Daugiabučiui namui netaikomi minimalūs privalomi pastatų energinio naudingumo reikalavimai </w:t>
            </w:r>
          </w:p>
        </w:tc>
        <w:tc>
          <w:tcPr>
            <w:tcW w:w="573" w:type="pct"/>
            <w:shd w:val="clear" w:color="auto" w:fill="auto"/>
            <w:tcMar>
              <w:top w:w="17" w:type="dxa"/>
              <w:left w:w="84" w:type="dxa"/>
              <w:right w:w="55" w:type="dxa"/>
            </w:tcMar>
            <w:vAlign w:val="center"/>
          </w:tcPr>
          <w:p w14:paraId="0AC2C43C" w14:textId="5A765956" w:rsidR="00D01BC5" w:rsidRDefault="00634429">
            <w:pPr>
              <w:suppressAutoHyphens/>
              <w:spacing w:line="276" w:lineRule="auto"/>
              <w:jc w:val="center"/>
              <w:rPr>
                <w:sz w:val="22"/>
                <w:szCs w:val="22"/>
                <w:lang w:eastAsia="lt-LT"/>
              </w:rPr>
            </w:pPr>
            <w:r>
              <w:rPr>
                <w:sz w:val="22"/>
                <w:szCs w:val="22"/>
                <w:lang w:eastAsia="lt-LT"/>
              </w:rPr>
              <w:t>137</w:t>
            </w:r>
          </w:p>
        </w:tc>
        <w:tc>
          <w:tcPr>
            <w:tcW w:w="573" w:type="pct"/>
            <w:shd w:val="clear" w:color="auto" w:fill="auto"/>
            <w:tcMar>
              <w:top w:w="17" w:type="dxa"/>
              <w:left w:w="84" w:type="dxa"/>
              <w:right w:w="55" w:type="dxa"/>
            </w:tcMar>
            <w:vAlign w:val="center"/>
          </w:tcPr>
          <w:p w14:paraId="6CEEFAA0" w14:textId="7F8FABCA" w:rsidR="00D01BC5" w:rsidRDefault="00634429">
            <w:pPr>
              <w:suppressAutoHyphens/>
              <w:spacing w:line="276" w:lineRule="auto"/>
              <w:jc w:val="center"/>
              <w:rPr>
                <w:sz w:val="22"/>
                <w:szCs w:val="22"/>
                <w:lang w:eastAsia="lt-LT"/>
              </w:rPr>
            </w:pPr>
            <w:r>
              <w:rPr>
                <w:sz w:val="22"/>
                <w:szCs w:val="22"/>
                <w:lang w:eastAsia="lt-LT"/>
              </w:rPr>
              <w:t>133</w:t>
            </w:r>
          </w:p>
        </w:tc>
        <w:tc>
          <w:tcPr>
            <w:tcW w:w="573" w:type="pct"/>
            <w:shd w:val="clear" w:color="auto" w:fill="auto"/>
            <w:tcMar>
              <w:top w:w="17" w:type="dxa"/>
              <w:left w:w="84" w:type="dxa"/>
              <w:right w:w="55" w:type="dxa"/>
            </w:tcMar>
            <w:vAlign w:val="center"/>
          </w:tcPr>
          <w:p w14:paraId="2711C6BF" w14:textId="33CA1F74" w:rsidR="00D01BC5" w:rsidRDefault="00634429">
            <w:pPr>
              <w:suppressAutoHyphens/>
              <w:spacing w:line="276" w:lineRule="auto"/>
              <w:jc w:val="center"/>
              <w:rPr>
                <w:strike/>
                <w:sz w:val="22"/>
                <w:szCs w:val="22"/>
                <w:lang w:eastAsia="lt-LT"/>
              </w:rPr>
            </w:pPr>
            <w:r>
              <w:rPr>
                <w:sz w:val="22"/>
                <w:szCs w:val="22"/>
                <w:lang w:eastAsia="lt-LT"/>
              </w:rPr>
              <w:t>110</w:t>
            </w:r>
          </w:p>
        </w:tc>
        <w:tc>
          <w:tcPr>
            <w:tcW w:w="573" w:type="pct"/>
            <w:shd w:val="clear" w:color="auto" w:fill="auto"/>
            <w:tcMar>
              <w:top w:w="17" w:type="dxa"/>
              <w:left w:w="84" w:type="dxa"/>
              <w:right w:w="55" w:type="dxa"/>
            </w:tcMar>
            <w:vAlign w:val="center"/>
          </w:tcPr>
          <w:p w14:paraId="70025DEF" w14:textId="4A615376" w:rsidR="00D01BC5" w:rsidRDefault="00634429">
            <w:pPr>
              <w:suppressAutoHyphens/>
              <w:spacing w:line="276" w:lineRule="auto"/>
              <w:jc w:val="center"/>
              <w:rPr>
                <w:sz w:val="22"/>
                <w:szCs w:val="22"/>
                <w:lang w:eastAsia="lt-LT"/>
              </w:rPr>
            </w:pPr>
            <w:r>
              <w:rPr>
                <w:sz w:val="22"/>
                <w:szCs w:val="22"/>
                <w:lang w:eastAsia="lt-LT"/>
              </w:rPr>
              <w:t>106</w:t>
            </w:r>
          </w:p>
        </w:tc>
        <w:tc>
          <w:tcPr>
            <w:tcW w:w="574" w:type="pct"/>
            <w:shd w:val="clear" w:color="auto" w:fill="auto"/>
            <w:tcMar>
              <w:top w:w="17" w:type="dxa"/>
              <w:left w:w="84" w:type="dxa"/>
              <w:right w:w="55" w:type="dxa"/>
            </w:tcMar>
            <w:vAlign w:val="center"/>
          </w:tcPr>
          <w:p w14:paraId="25DA7DC8" w14:textId="5B1C7F10" w:rsidR="00D01BC5" w:rsidRDefault="00634429">
            <w:pPr>
              <w:suppressAutoHyphens/>
              <w:spacing w:line="276" w:lineRule="auto"/>
              <w:jc w:val="center"/>
              <w:rPr>
                <w:sz w:val="22"/>
                <w:szCs w:val="22"/>
                <w:lang w:eastAsia="lt-LT"/>
              </w:rPr>
            </w:pPr>
            <w:r>
              <w:rPr>
                <w:sz w:val="22"/>
                <w:szCs w:val="22"/>
                <w:lang w:eastAsia="lt-LT"/>
              </w:rPr>
              <w:t>104“.</w:t>
            </w:r>
          </w:p>
        </w:tc>
      </w:tr>
    </w:tbl>
    <w:p w14:paraId="00C76ACB" w14:textId="77777777" w:rsidR="00D01BC5" w:rsidRDefault="00D01BC5">
      <w:pPr>
        <w:suppressAutoHyphens/>
        <w:rPr>
          <w:lang w:eastAsia="lt-LT"/>
        </w:rPr>
      </w:pPr>
    </w:p>
    <w:p w14:paraId="109B6581" w14:textId="77777777" w:rsidR="00D01BC5" w:rsidRDefault="00634429">
      <w:pPr>
        <w:tabs>
          <w:tab w:val="left" w:pos="7655"/>
        </w:tabs>
        <w:suppressAutoHyphens/>
        <w:rPr>
          <w:lang w:eastAsia="lt-LT"/>
        </w:rPr>
      </w:pPr>
    </w:p>
    <w:p w14:paraId="047DE75A" w14:textId="4332D829" w:rsidR="00D01BC5" w:rsidRDefault="00634429">
      <w:pPr>
        <w:tabs>
          <w:tab w:val="left" w:pos="7655"/>
        </w:tabs>
        <w:suppressAutoHyphens/>
        <w:rPr>
          <w:lang w:eastAsia="lt-LT"/>
        </w:rPr>
      </w:pPr>
      <w:r>
        <w:rPr>
          <w:lang w:eastAsia="lt-LT"/>
        </w:rPr>
        <w:t>Aplinkos ministras</w:t>
      </w:r>
      <w:r>
        <w:rPr>
          <w:lang w:eastAsia="lt-LT"/>
        </w:rPr>
        <w:tab/>
        <w:t xml:space="preserve">Povilas </w:t>
      </w:r>
      <w:proofErr w:type="spellStart"/>
      <w:r>
        <w:rPr>
          <w:lang w:eastAsia="lt-LT"/>
        </w:rPr>
        <w:t>Poderskis</w:t>
      </w:r>
      <w:proofErr w:type="spellEnd"/>
    </w:p>
    <w:p w14:paraId="6D210B82" w14:textId="77777777" w:rsidR="00D01BC5" w:rsidRDefault="00634429">
      <w:pPr>
        <w:rPr>
          <w:lang w:eastAsia="lt-LT"/>
        </w:rPr>
      </w:pPr>
    </w:p>
    <w:sectPr w:rsidR="00D01BC5">
      <w:headerReference w:type="even" r:id="rId12"/>
      <w:headerReference w:type="default" r:id="rId13"/>
      <w:footerReference w:type="even" r:id="rId14"/>
      <w:footerReference w:type="default" r:id="rId15"/>
      <w:headerReference w:type="first" r:id="rId16"/>
      <w:footerReference w:type="first" r:id="rId17"/>
      <w:footnotePr>
        <w:pos w:val="beneathText"/>
      </w:footnotePr>
      <w:type w:val="continuous"/>
      <w:pgSz w:w="11905" w:h="16837" w:code="9"/>
      <w:pgMar w:top="1134" w:right="567" w:bottom="1134" w:left="1701" w:header="567" w:footer="567" w:gutter="0"/>
      <w:cols w:space="1296"/>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A411FF" w14:textId="77777777" w:rsidR="00D01BC5" w:rsidRDefault="00634429">
      <w:pPr>
        <w:suppressAutoHyphens/>
        <w:rPr>
          <w:lang w:eastAsia="lt-LT"/>
        </w:rPr>
      </w:pPr>
      <w:r>
        <w:rPr>
          <w:lang w:eastAsia="lt-LT"/>
        </w:rPr>
        <w:separator/>
      </w:r>
    </w:p>
  </w:endnote>
  <w:endnote w:type="continuationSeparator" w:id="0">
    <w:p w14:paraId="7BEC76B8" w14:textId="77777777" w:rsidR="00D01BC5" w:rsidRDefault="00634429">
      <w:pPr>
        <w:suppressAutoHyphens/>
        <w:rPr>
          <w:lang w:eastAsia="lt-LT"/>
        </w:rPr>
      </w:pPr>
      <w:r>
        <w:rPr>
          <w:lang w:eastAsia="lt-LT"/>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BA"/>
    <w:family w:val="roman"/>
    <w:pitch w:val="variable"/>
    <w:sig w:usb0="E0002EFF" w:usb1="C000785B" w:usb2="00000009" w:usb3="00000000" w:csb0="000001FF" w:csb1="00000000"/>
  </w:font>
  <w:font w:name="Segoe UI">
    <w:panose1 w:val="020B0502040204020203"/>
    <w:charset w:val="BA"/>
    <w:family w:val="swiss"/>
    <w:pitch w:val="variable"/>
    <w:sig w:usb0="E4002EFF" w:usb1="C000E47F" w:usb2="00000009" w:usb3="00000000" w:csb0="000001FF" w:csb1="00000000"/>
  </w:font>
  <w:font w:name="Calibri">
    <w:panose1 w:val="020F0502020204030204"/>
    <w:charset w:val="BA"/>
    <w:family w:val="swiss"/>
    <w:pitch w:val="variable"/>
    <w:sig w:usb0="E4002EFF" w:usb1="C000247B" w:usb2="00000009" w:usb3="00000000" w:csb0="000001FF" w:csb1="00000000"/>
  </w:font>
  <w:font w:name="Tahoma">
    <w:panose1 w:val="020B0604030504040204"/>
    <w:charset w:val="BA"/>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BA"/>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E42486" w14:textId="77777777" w:rsidR="00D01BC5" w:rsidRDefault="00D01BC5">
    <w:pPr>
      <w:tabs>
        <w:tab w:val="center" w:pos="4986"/>
        <w:tab w:val="right" w:pos="9972"/>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F07A26" w14:textId="77777777" w:rsidR="00D01BC5" w:rsidRDefault="00D01BC5">
    <w:pPr>
      <w:tabs>
        <w:tab w:val="center" w:pos="4986"/>
        <w:tab w:val="right" w:pos="9972"/>
      </w:tabs>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68F38" w14:textId="77777777" w:rsidR="00D01BC5" w:rsidRDefault="00D01BC5">
    <w:pPr>
      <w:tabs>
        <w:tab w:val="center" w:pos="4986"/>
        <w:tab w:val="right" w:pos="9972"/>
      </w:tabs>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0688F4" w14:textId="77777777" w:rsidR="00D01BC5" w:rsidRDefault="00634429">
      <w:pPr>
        <w:suppressAutoHyphens/>
        <w:rPr>
          <w:lang w:eastAsia="lt-LT"/>
        </w:rPr>
      </w:pPr>
      <w:r>
        <w:rPr>
          <w:lang w:eastAsia="lt-LT"/>
        </w:rPr>
        <w:separator/>
      </w:r>
    </w:p>
  </w:footnote>
  <w:footnote w:type="continuationSeparator" w:id="0">
    <w:p w14:paraId="40AE1D7F" w14:textId="77777777" w:rsidR="00D01BC5" w:rsidRDefault="00634429">
      <w:pPr>
        <w:suppressAutoHyphens/>
        <w:rPr>
          <w:lang w:eastAsia="lt-LT"/>
        </w:rPr>
      </w:pPr>
      <w:r>
        <w:rPr>
          <w:lang w:eastAsia="lt-LT"/>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AB61B8" w14:textId="77777777" w:rsidR="00D01BC5" w:rsidRDefault="00D01BC5">
    <w:pPr>
      <w:tabs>
        <w:tab w:val="center" w:pos="4986"/>
        <w:tab w:val="right" w:pos="9972"/>
      </w:tabs>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256DF3" w14:textId="072FB35A" w:rsidR="00D01BC5" w:rsidRDefault="00634429">
    <w:pPr>
      <w:tabs>
        <w:tab w:val="center" w:pos="4153"/>
        <w:tab w:val="right" w:pos="9100"/>
      </w:tabs>
      <w:suppressAutoHyphens/>
      <w:jc w:val="center"/>
      <w:rPr>
        <w:rFonts w:ascii="Tahoma" w:hAnsi="Tahoma"/>
        <w:spacing w:val="10"/>
        <w:sz w:val="20"/>
        <w:lang w:eastAsia="lt-LT"/>
      </w:rPr>
    </w:pPr>
    <w:r>
      <w:rPr>
        <w:rFonts w:ascii="Tahoma" w:hAnsi="Tahoma"/>
        <w:spacing w:val="10"/>
        <w:sz w:val="20"/>
        <w:lang w:eastAsia="lt-LT"/>
      </w:rPr>
      <w:fldChar w:fldCharType="begin"/>
    </w:r>
    <w:r>
      <w:rPr>
        <w:rFonts w:ascii="Tahoma" w:hAnsi="Tahoma"/>
        <w:spacing w:val="10"/>
        <w:sz w:val="20"/>
        <w:lang w:eastAsia="lt-LT"/>
      </w:rPr>
      <w:instrText>PAGE   \* MERGEFORMAT</w:instrText>
    </w:r>
    <w:r>
      <w:rPr>
        <w:rFonts w:ascii="Tahoma" w:hAnsi="Tahoma"/>
        <w:spacing w:val="10"/>
        <w:sz w:val="20"/>
        <w:lang w:eastAsia="lt-LT"/>
      </w:rPr>
      <w:fldChar w:fldCharType="separate"/>
    </w:r>
    <w:r>
      <w:rPr>
        <w:rFonts w:ascii="Tahoma" w:hAnsi="Tahoma"/>
        <w:noProof/>
        <w:spacing w:val="10"/>
        <w:sz w:val="20"/>
        <w:lang w:eastAsia="lt-LT"/>
      </w:rPr>
      <w:t>3</w:t>
    </w:r>
    <w:r>
      <w:rPr>
        <w:rFonts w:ascii="Tahoma" w:hAnsi="Tahoma"/>
        <w:spacing w:val="10"/>
        <w:sz w:val="20"/>
        <w:lang w:eastAsia="lt-LT"/>
      </w:rPr>
      <w:fldChar w:fldCharType="end"/>
    </w:r>
  </w:p>
  <w:p w14:paraId="7EF7F191" w14:textId="77777777" w:rsidR="00D01BC5" w:rsidRDefault="00D01BC5">
    <w:pPr>
      <w:tabs>
        <w:tab w:val="left" w:pos="3344"/>
        <w:tab w:val="left" w:pos="8291"/>
      </w:tabs>
      <w:suppressAutoHyphens/>
      <w:spacing w:before="120" w:after="60"/>
      <w:ind w:left="-17" w:firstLine="17"/>
      <w:jc w:val="center"/>
      <w:rPr>
        <w:b/>
        <w:bCs/>
        <w:lang w:eastAsia="lt-LT"/>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7DAD20" w14:textId="77777777" w:rsidR="00D01BC5" w:rsidRDefault="00D01BC5">
    <w:pPr>
      <w:tabs>
        <w:tab w:val="center" w:pos="4986"/>
        <w:tab w:val="right" w:pos="9972"/>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396"/>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21E9"/>
    <w:rsid w:val="00634429"/>
    <w:rsid w:val="00CD21E9"/>
    <w:rsid w:val="00D01BC5"/>
  </w:rsids>
  <m:mathPr>
    <m:mathFont m:val="Cambria Math"/>
    <m:brkBin m:val="before"/>
    <m:brkBinSub m:val="--"/>
    <m:smallFrac m:val="0"/>
    <m:dispDef/>
    <m:lMargin m:val="0"/>
    <m:rMargin m:val="0"/>
    <m:defJc m:val="centerGroup"/>
    <m:wrapIndent m:val="1440"/>
    <m:intLim m:val="subSup"/>
    <m:naryLim m:val="undOvr"/>
  </m:mathPr>
  <w:themeFontLang w:val="lt-LT"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2FBD2"/>
  <w15:docId w15:val="{70D8F469-1357-456E-9A23-2550F7981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5415744">
      <w:bodyDiv w:val="1"/>
      <w:marLeft w:val="0"/>
      <w:marRight w:val="0"/>
      <w:marTop w:val="0"/>
      <w:marBottom w:val="0"/>
      <w:divBdr>
        <w:top w:val="none" w:sz="0" w:space="0" w:color="auto"/>
        <w:left w:val="none" w:sz="0" w:space="0" w:color="auto"/>
        <w:bottom w:val="none" w:sz="0" w:space="0" w:color="auto"/>
        <w:right w:val="none" w:sz="0" w:space="0" w:color="auto"/>
      </w:divBdr>
    </w:div>
    <w:div w:id="1501921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Relationships xmlns="http://schemas.openxmlformats.org/package/2006/relationships">
  <Relationship Id="rId1" Type="http://schemas.openxmlformats.org/officeDocument/2006/relationships/customXml" Target="../customXml/item1.xml"/>
  <Relationship Id="rId10" Type="http://schemas.openxmlformats.org/officeDocument/2006/relationships/endnotes" Target="endnotes.xml"/>
  <Relationship Id="rId11" Type="http://schemas.openxmlformats.org/officeDocument/2006/relationships/image" Target="media/image1.png"/>
  <Relationship Id="rId12" Type="http://schemas.openxmlformats.org/officeDocument/2006/relationships/header" Target="header1.xml"/>
  <Relationship Id="rId13" Type="http://schemas.openxmlformats.org/officeDocument/2006/relationships/header" Target="header2.xml"/>
  <Relationship Id="rId14" Type="http://schemas.openxmlformats.org/officeDocument/2006/relationships/footer" Target="footer1.xml"/>
  <Relationship Id="rId15" Type="http://schemas.openxmlformats.org/officeDocument/2006/relationships/footer" Target="footer2.xml"/>
  <Relationship Id="rId16" Type="http://schemas.openxmlformats.org/officeDocument/2006/relationships/header" Target="header3.xml"/>
  <Relationship Id="rId17" Type="http://schemas.openxmlformats.org/officeDocument/2006/relationships/footer" Target="footer3.xml"/>
  <Relationship Id="rId18" Type="http://schemas.openxmlformats.org/officeDocument/2006/relationships/fontTable" Target="fontTable.xml"/>
  <Relationship Id="rId19" Type="http://schemas.openxmlformats.org/officeDocument/2006/relationships/theme" Target="theme/theme1.xml"/>
  <Relationship Id="rId2" Type="http://schemas.openxmlformats.org/officeDocument/2006/relationships/customXml" Target="../customXml/item2.xml"/>
  <Relationship Id="rId3" Type="http://schemas.openxmlformats.org/officeDocument/2006/relationships/customXml" Target="../customXml/item3.xml"/>
  <Relationship Id="rId5" Type="http://schemas.openxmlformats.org/officeDocument/2006/relationships/customXml" Target="../customXml/item5.xml"/>
  <Relationship Id="rId6" Type="http://schemas.openxmlformats.org/officeDocument/2006/relationships/styles" Target="styles.xml"/>
  <Relationship Id="rId7" Type="http://schemas.openxmlformats.org/officeDocument/2006/relationships/settings" Target="settings.xml"/>
  <Relationship Id="rId8" Type="http://schemas.openxmlformats.org/officeDocument/2006/relationships/webSettings" Target="webSettings.xml"/>
  <Relationship Id="rId9"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_rels/item2.xml.rels><?xml version="1.0" encoding="UTF-8"?>

<Relationships xmlns="http://schemas.openxmlformats.org/package/2006/relationships">
  <Relationship Id="rId1" Type="http://schemas.openxmlformats.org/officeDocument/2006/relationships/customXmlProps" Target="itemProps2.xml"/>
</Relationships>

</file>

<file path=customXml/_rels/item3.xml.rels><?xml version="1.0" encoding="UTF-8"?>

<Relationships xmlns="http://schemas.openxmlformats.org/package/2006/relationships">
  <Relationship Id="rId1" Type="http://schemas.openxmlformats.org/officeDocument/2006/relationships/customXmlProps" Target="itemProps3.xml"/>
</Relationships>

</file>

<file path=customXml/_rels/item5.xml.rels><?xml version="1.0" encoding="UTF-8"?>

<Relationships xmlns="http://schemas.openxmlformats.org/package/2006/relationships">
  <Relationship Id="rId1" Type="http://schemas.openxmlformats.org/officeDocument/2006/relationships/customXmlProps" Target="itemProps5.xml"/>
</Relationships>

</file>

<file path=customXml/item1.xml><?xml version="1.0" encoding="utf-8"?>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as" ma:contentTypeID="0x01010050164633ED94994D9773E53D567FF5BF" ma:contentTypeVersion="14" ma:contentTypeDescription="Kurkite naują dokumentą." ma:contentTypeScope="" ma:versionID="327b48872ff6932eeb09353cc3bbdb0c">
  <xsd:schema xmlns:xsd="http://www.w3.org/2001/XMLSchema" xmlns:xs="http://www.w3.org/2001/XMLSchema" xmlns:p="http://schemas.microsoft.com/office/2006/metadata/properties" xmlns:ns2="47c1ea38-b788-4873-88f4-3b1f34597b9a" xmlns:ns3="0379a545-9986-45d7-9e6d-3845025712a0" targetNamespace="http://schemas.microsoft.com/office/2006/metadata/properties" ma:root="true" ma:fieldsID="49bb1461692a08ce2aec186f0540e300" ns2:_="" ns3:_="">
    <xsd:import namespace="47c1ea38-b788-4873-88f4-3b1f34597b9a"/>
    <xsd:import namespace="0379a545-9986-45d7-9e6d-3845025712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c1ea38-b788-4873-88f4-3b1f34597b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Vaizdų žymės" ma:readOnly="false" ma:fieldId="{5cf76f15-5ced-4ddc-b409-7134ff3c332f}" ma:taxonomyMulti="true" ma:sspId="b763af57-ddc4-4b49-90b1-28f02697adf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79a545-9986-45d7-9e6d-3845025712a0" elementFormDefault="qualified">
    <xsd:import namespace="http://schemas.microsoft.com/office/2006/documentManagement/types"/>
    <xsd:import namespace="http://schemas.microsoft.com/office/infopath/2007/PartnerControls"/>
    <xsd:element name="SharedWithUsers" ma:index="12" nillable="true" ma:displayName="Bendrinama s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Bendrinta su išsamia informacija" ma:internalName="SharedWithDetails" ma:readOnly="true">
      <xsd:simpleType>
        <xsd:restriction base="dms:Note">
          <xsd:maxLength value="255"/>
        </xsd:restriction>
      </xsd:simpleType>
    </xsd:element>
    <xsd:element name="TaxCatchAll" ma:index="16" nillable="true" ma:displayName="Taxonomy Catch All Column" ma:hidden="true" ma:list="{3f5c7397-6a17-43fd-b0d0-62600e53cad0}" ma:internalName="TaxCatchAll" ma:showField="CatchAllData" ma:web="0379a545-9986-45d7-9e6d-3845025712a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http://schemas.openxmlformats.org/package/2006/metadata/core-properties"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xs="http://www.w3.org/2001/XMLSchema" xmlns:pc="http://schemas.microsoft.com/office/infopath/2007/PartnerControls"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7c1ea38-b788-4873-88f4-3b1f34597b9a">
      <Terms xmlns="http://schemas.microsoft.com/office/infopath/2007/PartnerControls"/>
    </lcf76f155ced4ddcb4097134ff3c332f>
    <TaxCatchAll xmlns="0379a545-9986-45d7-9e6d-3845025712a0"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1FB198-41D3-4EC3-AFD9-2277C8B0E21D}">
  <ds:schemaRefs>
    <ds:schemaRef ds:uri="http://schemas.microsoft.com/sharepoint/v3/contenttype/forms"/>
  </ds:schemaRefs>
</ds:datastoreItem>
</file>

<file path=customXml/itemProps2.xml><?xml version="1.0" encoding="utf-8"?>
<ds:datastoreItem xmlns:ds="http://schemas.openxmlformats.org/officeDocument/2006/customXml" ds:itemID="{A38B8C54-2138-409D-A460-94448480E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c1ea38-b788-4873-88f4-3b1f34597b9a"/>
    <ds:schemaRef ds:uri="0379a545-9986-45d7-9e6d-3845025712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A71CDB-73C5-4841-972B-AF905D5930EA}">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0379a545-9986-45d7-9e6d-3845025712a0"/>
    <ds:schemaRef ds:uri="47c1ea38-b788-4873-88f4-3b1f34597b9a"/>
    <ds:schemaRef ds:uri="http://www.w3.org/XML/1998/namespace"/>
    <ds:schemaRef ds:uri="http://purl.org/dc/dcmitype/"/>
  </ds:schemaRefs>
</ds:datastoreItem>
</file>

<file path=customXml/itemProps5.xml><?xml version="1.0" encoding="utf-8"?>
<ds:datastoreItem xmlns:ds="http://schemas.openxmlformats.org/officeDocument/2006/customXml" ds:itemID="{84AEE52B-AE5C-4715-94A7-21E3A9A53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5257</Words>
  <Characters>2997</Characters>
  <Application>Microsoft Office Word</Application>
  <DocSecurity>0</DocSecurity>
  <Lines>24</Lines>
  <Paragraphs>16</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8238</CharactersWithSpaces>
  <SharedDoc>false</SharedDoc>
  <HyperlinkBase/>
  <HyperlinksChanged>false</HyperlinksChanged>
  <AppVersion>16.0000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2025-04-28T08:38:00Z</dcterms:created>
  <dc:creator>Giedrė Šarkutė Stončienė</dc:creator>
  <lastModifiedBy>ŠAULYTĖ SKAIRIENĖ Dalia</lastModifiedBy>
  <dcterms:modified xsi:type="dcterms:W3CDTF">2025-04-28T10:38:00Z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0x01010050164633ED94994D9773E53D567FF5BF</vt:lpwstr>
  </property>
  <property fmtid="{D5CDD505-2E9C-101B-9397-08002B2CF9AE}" pid="3" name="MediaServiceImageTags">
    <vt:lpwstr/>
  </property>
</Properties>
</file>