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E3A8A"/>
          <w:sz w:val="56"/>
          <w:szCs w:val="56"/>
        </w:rPr>
        <w:t xml:space="preserve">DOCENTE PRO</w:t>
      </w:r>
    </w:p>
    <w:p>
      <w:pPr>
        <w:spacing w:after="200"/>
        <w:jc w:val="center"/>
      </w:pPr>
      <w:r>
        <w:rPr>
          <w:color w:val="0891B2"/>
          <w:sz w:val="28"/>
          <w:szCs w:val="28"/>
        </w:rPr>
        <w:t xml:space="preserve">Planificación docente con Inteligencia Artificial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Documentación para inversores · Resumen ejecutivo y visión técnica</w:t>
      </w:r>
    </w:p>
    <w:p>
      <w:pPr>
        <w:spacing w:after="600"/>
        <w:jc w:val="center"/>
      </w:pPr>
      <w:r>
        <w:rPr>
          <w:i/>
          <w:iCs/>
          <w:color w:val="64748B"/>
          <w:sz w:val="20"/>
          <w:szCs w:val="20"/>
        </w:rPr>
        <w:t xml:space="preserve">Junio 2026 · Confidencial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32"/>
                <w:szCs w:val="32"/>
              </w:rPr>
              <w:t xml:space="preserve">440+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Usuarios registrados</w:t>
            </w:r>
          </w:p>
        </w:tc>
        <w:tc>
          <w:tcPr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32"/>
                <w:szCs w:val="32"/>
              </w:rPr>
              <w:t xml:space="preserve">25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Usuarios premium</w:t>
            </w:r>
          </w:p>
        </w:tc>
        <w:tc>
          <w:tcPr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SaaS B2C</w:t>
            </w:r>
          </w:p>
          <w:p>
            <w:pPr>
              <w:jc w:val="center"/>
            </w:pPr>
            <w:r>
              <w:rPr>
                <w:color w:val="E0E7FF"/>
                <w:sz w:val="18"/>
                <w:szCs w:val="18"/>
              </w:rPr>
              <w:t xml:space="preserve">Modelo</w:t>
            </w:r>
          </w:p>
        </w:tc>
      </w:tr>
    </w:tbl>
    <w:p>
      <w:pPr>
        <w:spacing w:before="400"/>
      </w:pPr>
    </w:p>
    <w:p>
      <w:pPr>
        <w:pStyle w:val="Heading1"/>
        <w:spacing w:after="160" w:before="400"/>
      </w:pPr>
      <w:r>
        <w:rPr>
          <w:b/>
          <w:bCs/>
          <w:color w:val="1E3A8A"/>
          <w:sz w:val="36"/>
          <w:szCs w:val="36"/>
        </w:rPr>
        <w:t xml:space="preserve">1. Resumen ejecutivo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Docente Pro es una plataforma SaaS diseñada para docentes peruanos de educación básica (primaria y secundaria). Utiliza inteligencia artificial para generar sesiones de aprendizaje, unidades curriculares, evaluaciones y recursos didácticos alineados al Currículo Nacional de Educación Básica (CNEB / Currículo Nacional 2016).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El problema que resolvemos es claro: los docentes invierten entre 8 y 15 horas semanales en planificación, documentación y evaluación. Docente Pro reduce ese tiempo a minutos, manteniendo la calidad pedagógica y el cumplimiento normativo exigido por el MINEDU.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Operamos con un modelo freemium: registro gratuito con funciones limitadas y suscripción premium mensual (S/ 20 primaria · S/ 25 secundaria · planes equipo desde S/ 30).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2. Problema y oportunidad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Más de 350.000 docentes en educación básica regular en Perú requieren planificar por competencias y capacidades.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La planificación manual es repetitiva, consume fines de semana y genera estrés docente.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Las herramientas genéricas (Word, ChatGPT sin contexto) no están alineadas al CNEB ni generan documentos listos para usar.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Docente Pro combina IA especializada + plantillas oficiales + exportación PDF profesional.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3. Propuesta de valor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el docente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Ahorro de tiempo</w:t>
            </w:r>
          </w:p>
        </w:tc>
        <w:tc>
          <w:p>
            <w:r>
              <w:rPr>
                <w:sz w:val="20"/>
                <w:szCs w:val="20"/>
              </w:rPr>
              <w:t xml:space="preserve">Sesiones completas en minutos vs. horas de trabajo manual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Cumplimiento normativo</w:t>
            </w:r>
          </w:p>
        </w:tc>
        <w:tc>
          <w:p>
            <w:r>
              <w:rPr>
                <w:sz w:val="20"/>
                <w:szCs w:val="20"/>
              </w:rPr>
              <w:t xml:space="preserve">Contenido alineado al CNEB, competencias y capacidades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Documentos listos</w:t>
            </w:r>
          </w:p>
        </w:tc>
        <w:tc>
          <w:p>
            <w:r>
              <w:rPr>
                <w:sz w:val="20"/>
                <w:szCs w:val="20"/>
              </w:rPr>
              <w:t xml:space="preserve">Exportación a PDF con formato profesional para entregar o imprimir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Recursos visuales</w:t>
            </w:r>
          </w:p>
        </w:tc>
        <w:tc>
          <w:p>
            <w:r>
              <w:rPr>
                <w:sz w:val="20"/>
                <w:szCs w:val="20"/>
              </w:rPr>
              <w:t xml:space="preserve">Gráficos educativos y material didáctico generado automáticamente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Evaluación integrada</w:t>
            </w:r>
          </w:p>
        </w:tc>
        <w:tc>
          <w:p>
            <w:r>
              <w:rPr>
                <w:sz w:val="20"/>
                <w:szCs w:val="20"/>
              </w:rPr>
              <w:t xml:space="preserve">Rúbricas e instrumentos de evaluación coherentes con la sesión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4. Producto — Módulos principales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4.1 Sesiones de aprendizaje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Generación asistida por IA de sesiones completas con secuencia didáctica (Inicio, Desarrollo, Cierre), propósitos, competencias, criterios de evaluación y reflexiones. Soporta múltiples áreas curriculares con interfaces especializadas por materia.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4.2 Unidades de aprendizaje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Creación de unidades semanales o por periodo, vinculadas a problemáticas del aula, estándares de aprendizaje y sesiones complementarias. Disponible en planes premium.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4.3 Evaluaciones y rúbricas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Generación automática de instrumentos de evaluación alineados a los criterios de la sesión, incluyendo rúbricas de desempeño por niveles.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4.4 Gráficos educativos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Biblioteca de recursos visuales interactivos (tablas, diagramas, fichas, gráficos matemáticos) integrados en las sesiones para enriquecer el material didáctico.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4.5 Fichas y recursos de aplicación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Fichas de trabajo y aplicación para estudiantes, generadas a partir del contenido de la sesión y exportables a PDF.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4.6 Panel administrativo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Backoffice interno para gestión de usuarios, pagos, suscripciones y soporte operativo del producto.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5. Modelo de negocio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Personal Primaria</w:t>
            </w:r>
          </w:p>
        </w:tc>
        <w:tc>
          <w:p>
            <w:r>
              <w:rPr>
                <w:sz w:val="20"/>
                <w:szCs w:val="20"/>
              </w:rPr>
              <w:t xml:space="preserve">S/ 20 / mes</w:t>
            </w:r>
          </w:p>
        </w:tc>
        <w:tc>
          <w:p>
            <w:r>
              <w:rPr>
                <w:sz w:val="20"/>
                <w:szCs w:val="20"/>
              </w:rPr>
              <w:t xml:space="preserve">Docente de primaria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Personal Secundaria</w:t>
            </w:r>
          </w:p>
        </w:tc>
        <w:tc>
          <w:p>
            <w:r>
              <w:rPr>
                <w:sz w:val="20"/>
                <w:szCs w:val="20"/>
              </w:rPr>
              <w:t xml:space="preserve">S/ 25 / mes</w:t>
            </w:r>
          </w:p>
        </w:tc>
        <w:tc>
          <w:p>
            <w:r>
              <w:rPr>
                <w:sz w:val="20"/>
                <w:szCs w:val="20"/>
              </w:rPr>
              <w:t xml:space="preserve">Docente de secundaria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Equipo</w:t>
            </w:r>
          </w:p>
        </w:tc>
        <w:tc>
          <w:p>
            <w:r>
              <w:rPr>
                <w:sz w:val="20"/>
                <w:szCs w:val="20"/>
              </w:rPr>
              <w:t xml:space="preserve">S/ 30 / mes</w:t>
            </w:r>
          </w:p>
        </w:tc>
        <w:tc>
          <w:p>
            <w:r>
              <w:rPr>
                <w:sz w:val="20"/>
                <w:szCs w:val="20"/>
              </w:rPr>
              <w:t xml:space="preserve">Docente + 1 colaborador</w:t>
            </w:r>
          </w:p>
        </w:tc>
      </w:tr>
    </w:tbl>
    <w:p>
      <w:pPr>
        <w:spacing w:before="160"/>
      </w:pPr>
    </w:p>
    <w:p>
      <w:pPr>
        <w:spacing w:after="140" w:line="360"/>
      </w:pPr>
      <w:r>
        <w:rPr>
          <w:color w:val="1E293B"/>
          <w:sz w:val="22"/>
          <w:szCs w:val="22"/>
        </w:rPr>
        <w:t xml:space="preserve">Ingresos recurrentes actuales (MRR estimado): ~S/ 550 – 625 / mes (25 usuarios premium).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Estacionalidad: mayor demanda en inicio de año escolar (marzo–abril) y segundo semestre (agosto–noviembre).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6. Tracción y métricas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440+ usuarios registrados en la plataforma.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25 suscriptores premium activos.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Conversión free → premium: ~5,7%.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Producto en producción con flujo de pago integrado (Mercado Pago).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Crecimiento orgánico vía comunidades docentes y referidos.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7. Arquitectura técnica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Docente Pro está construido como un sistema de microservicios desacoplados: un frontend SPA, un backend orquestador en Node.js y un microservicio de Inteligencia Artificial en Python (RAG). Todo desplegado en AWS con contenedores Docker, diseñado para escalar horizontalmente conforme crece la base de usuarios.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7.1 Frontend — Aplicación web (SPA)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React 18 + TypeScript — interfaz robusta, tipada y mantenible.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Vite — build y hot-reload de alta velocidad.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Tailwind CSS + Radix UI — diseño responsive y accesible.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React Query + Zustand — gestión de estado de servidor y caché.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Generación de PDF/Word en cliente y servidor con motor HTML-to-PDF.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Despliegue en CDN con distribución global (CloudFront).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7.2 Backend orquestador — Node.js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API REST construida con Express + TypeScript, con Prisma como ORM sobre PostgreSQL. Actúa como gateway y orquestador: valida identidad, enriquece el contexto desde la base de datos, coordina las llamadas al motor de IA y persiste los resultados.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Express + TypeScript — API REST con más de 20 grupos de endpoints (/api/unidad, /api/ia, /api/ia-unidad, /api/sesion, /api/pago, /api/usuario, /api/admin, etc.).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Prisma ORM + PostgreSQL — modelo de datos relacional (usuarios, unidades, sesiones, suscripciones, pagos).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Orquestación de la IA: arma el contexto curricular y llama al microservicio Python paso a paso.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Gestión de almacenamiento en AWS S3 mediante URLs prefirmadas (PDFs, documentos Word, imágenes).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7.3 Motor de IA — Python (RAG) + Google Gemini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Microservicio FastAPI que implementa un pipeline RAG (Retrieval-Augmented Generation): recupera contenido curricular oficial del MINEDU y lo usa como contexto para que el modelo genere planificaciones alineadas a la normativa peruana, no respuestas genéricas.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FastAPI (Python) — microservicio asíncrono de generación pedagógica.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Google Gemini 2.5 Pro — generación de tareas complejas (situación significativa, propósitos, secuencia didáctica, sesiones).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Google Gemini 2.5 Flash — tareas rápidas (títulos, materiales, reflexiones, criterios por actividad) para optimizar costo y latencia.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Gemini 2.5 Flash Image — generación de imágenes educativas (problemas de Matemática y otras áreas).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LangChain + FAISS — indexación vectorial y recuperación semántica de documentos.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Embeddings configurables (Gemini / OpenAI) sobre el corpus curricular.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Pydantic v2 — contratos de datos validados en cada endpoint (salida JSON estructurada y verificada).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Concurrencia controlada (semáforo de llamadas) y fallback automático de modelo ante picos de demanda.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7.4 Base de conocimiento (RAG / MINEDU)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El diferencial técnico está en la base de conocimiento curricular. El sistema indexa documentos oficiales y los recupera por relevancia para fundamentar cada generación: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Currículo Nacional de Educación Básica y Programa Curricular (Resolución 649-2016-MINEDU).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Cuadernillos, fichas y sesiones modelo del MINEDU para primaria y secundaria, por grado y área.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Estándares de aprendizaje, competencias y capacidades oficiales.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Ingesta automática con deduplicación (hash SHA-256), chunking semántico y filtrado por nivel/área/grado.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7.5 Seguridad y autenticación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Auth0 — autenticación enterprise (OAuth 2.0, JWT RS256, login social).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Control de acceso por roles: usuario free, premium (Subscriber) y administrador.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Validación de tokens vía JWKS; credenciales nunca expuestas en el frontend.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Cifrado de datos sensibles y comunicación HTTPS extremo a extremo.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Área de oportunidad (objetivo de la ronda): auditoría de ciberseguridad, pentesting y hardening de infraestructura — donde el inversor estratégico aporta valor directo.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7.6 Pagos y tiempo real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Mercado Pago — checkout y webhooks para suscripciones automáticas.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Pago manual Yape/WhatsApp con confirmación administrativa (realidad del mercado peruano).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Socket.io — notificaciones en tiempo real: confirmación de pago, activación/expiración de suscripción, conversión de documentos.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Flujo automatizado: pago → webhook → asignación de rol premium en Auth0 → acceso inmediato.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7.7 Infraestructura en AWS — actual y escalable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Hoy operamos una implementación funcional sobre AWS (EC2 + Docker + S3 + CloudFront), con CI/CD automatizado vía GitHub Actions y contenedores en GitHub Container Registry. La arquitectura objetivo está diseñada para escalar horizontalmente con balanceadores de carga, Auto Scaling Groups y base de datos en alta disponibilidad (RDS Multi-AZ):</w:t>
      </w:r>
    </w:p>
    <w:p>
      <w:pPr>
        <w:spacing w:after="80" w:before="160"/>
        <w:jc w:val="center"/>
      </w:pPr>
      <w:r>
        <w:drawing>
          <wp:inline distT="0" distB="0" distL="0" distR="0">
            <wp:extent cx="4191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6"/>
          <w:szCs w:val="16"/>
        </w:rPr>
        <w:t xml:space="preserve">Arquitectura AWS: implementación actual (arriba) y arquitectura objetivo escalable (abajo).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Actual: EC2 (Docker Compose: Node + RAG), PostgreSQL, S3 para documentos generados, CloudFront como CDN.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Objetivo: Application Load Balancer + Auto Scaling Groups para Node y RAG, RDS Multi-AZ en subred privada, S3 + CloudFront para distribución de contenido.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CI/CD: GitHub Actions → build de imágenes → despliegue automatizado en EC2.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8. Anatomía de una Sesión de Aprendizaje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Una sesión generada por Docente Pro no es texto suelto: es un documento estructurado que cumple todas las directrices del MINEDU. El motor de IA produce y valida cada uno de estos componentes: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Datos generales: área, grado, nivel, duración y docente.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Propósito de aprendizaje: competencia, capacidades, desempeños y estándar (una sola competencia por sesión — regla MINEDU).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Propósito de la sesión: qué aprenderán, cómo y para qué.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Criterios de evaluación y evidencia de aprendizaje.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Enfoques transversales (máximo 2) con valores y actitudes observables.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Preparación: recursos y materiales (de costo cero, realidad de la escuela pública).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Secuencia didáctica en tres momentos: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Inicio — problematización, motivación, saberes previos y propósito.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Desarrollo — gestión y acompañamiento, procesos pedagógicos por área.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Cierre — evaluación, metacognición y reflexión.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Recursos visuales: gráficos educativos y problemas con imágenes (Matemática y otras áreas), validados automáticamente.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Instrumento de evaluación (ej. lista de cotejo) coherente con los criterios.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Guardrails automáticos: el sistema fuerza una sola competencia, normaliza títulos al formato MINEDU, elimina contenido alucinado, valida los gráficos y reintenta si el JSON sale malformado. Esto garantiza documentos confiables y listos para el aula.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9. Anatomía de una Unidad de Aprendizaje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Una Unidad de Aprendizaje es un documento mayor (varias semanas) que articula múltiples áreas en torno a una problemática. Se genera mediante un flujo secuencial de 8 pasos, donde cada paso acumula el contexto de los anteriores: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1. Situación significativa — contexto problematizador real del aula.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2. Evidencias — propósito, producto integrador e instrumento de evaluación.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3. Propósitos de aprendizaje — competencias, capacidades, estándares, criterios y actividades por área (incluye competencias transversales).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4. Áreas complementarias — Tutoría, Plan Lector y otras, vinculadas a la competencia.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5. Enfoques transversales — valores y actitudes observables.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6. Secuencia de actividades — planificador semanal hora por hora, día por día, por área.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7. Materiales y recursos — coherentes con la secuencia.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8. Reflexiones — preguntas de autoevaluación docente.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El backend Node orquesta estos 8 pasos llamando al motor de IA en orden, alterna modelos Gemini Pro/Flash según la complejidad de cada paso, y persiste el resultado consolidado. El frontend renderiza cada bloque en tablas con el formato oficial, listo para exportar a PDF o Word.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10. Ventaja competitiva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Especialización en el mercado peruano y alineación CNEB (no es un ChatGPT genérico).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Documentos listos para uso real en el aula, no solo texto plano.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Arquitectura por áreas curriculares extensible a nuevas materias.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Stack moderno que permite iteración rápida de producto.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Conocimiento de dominio del equipo fundador (docentes + desarrollo).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11. Proyección financiera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Proyección conservadora con ticket promedio de S/ 22.5/mes por usuario premium (mix primaria S/ 20 y secundaria S/ 25). El crecimiento es gradual y sigue el calendario escolar peruano: picos en marzo (inicio de clases) y segundo semestre (agosto–noviembre).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Gastos/mes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Resultado/mes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Jun 2026 (actual)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Base actual · 25 premium activos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563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5,900</w:t>
            </w:r>
          </w:p>
        </w:tc>
        <w:tc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−S/ 5,337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Sep 2026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Inicio año escolar · conversión registrados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1,688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6,650</w:t>
            </w:r>
          </w:p>
        </w:tc>
        <w:tc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−S/ 4,962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Dic 2026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Vacaciones · foco retención y producto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3,825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6,550</w:t>
            </w:r>
          </w:p>
        </w:tc>
        <w:tc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−S/ 2,725</w:t>
            </w:r>
          </w:p>
        </w:tc>
      </w:tr>
      <w:tr>
        <w:tc>
          <w:tcPr>
            <w:shd w:fill="EFF6FF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 2027 (9 meses)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Meta 9 meses · pico inicio de clases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11,250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9,500</w:t>
            </w:r>
          </w:p>
        </w:tc>
        <w:tc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S/ 1,750</w:t>
            </w:r>
          </w:p>
        </w:tc>
      </w:tr>
      <w:tr>
        <w:tc>
          <w:tcPr>
            <w:shd w:fill="EFF6FF" w:val="clear"/>
          </w:tcPr>
          <w:p>
            <w:r>
              <w:rPr>
                <w:b/>
                <w:bCs/>
                <w:sz w:val="18"/>
                <w:szCs w:val="18"/>
              </w:rPr>
              <w:t xml:space="preserve">Jun 2027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Consolidación post-pico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580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13,050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9,300</w:t>
            </w:r>
          </w:p>
        </w:tc>
        <w:tc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S/ 3,750</w:t>
            </w:r>
          </w:p>
        </w:tc>
      </w:tr>
      <w:tr>
        <w:tc>
          <w:tcPr>
            <w:shd w:fill="EFF6FF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 2027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Segundo impulso del año escolar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665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14,963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10,050</w:t>
            </w:r>
          </w:p>
        </w:tc>
        <w:tc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S/ 4,913</w:t>
            </w:r>
          </w:p>
        </w:tc>
      </w:tr>
      <w:tr>
        <w:tc>
          <w:tcPr>
            <w:shd w:fill="EFF6FF" w:val="clear"/>
          </w:tcPr>
          <w:p>
            <w:r>
              <w:rPr>
                <w:b/>
                <w:bCs/>
                <w:sz w:val="18"/>
                <w:szCs w:val="18"/>
              </w:rPr>
              <w:t xml:space="preserve">Dic 2027 (18 meses)</w:t>
            </w:r>
          </w:p>
          <w:p>
            <w:r>
              <w:rPr>
                <w:i/>
                <w:iCs/>
                <w:color w:val="64748B"/>
                <w:sz w:val="14"/>
                <w:szCs w:val="14"/>
              </w:rPr>
              <w:t xml:space="preserve">Meta 18 meses · rango 700–800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780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17,550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S/ 10,100</w:t>
            </w:r>
          </w:p>
        </w:tc>
        <w:tc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S/ 7,450</w:t>
            </w:r>
          </w:p>
        </w:tc>
      </w:tr>
    </w:tbl>
    <w:p>
      <w:pPr>
        <w:spacing w:before="200"/>
      </w:pPr>
    </w:p>
    <w:p>
      <w:pPr>
        <w:spacing w:after="140" w:line="360"/>
      </w:pPr>
      <w:r>
        <w:rPr>
          <w:color w:val="1E293B"/>
          <w:sz w:val="22"/>
          <w:szCs w:val="22"/>
        </w:rPr>
        <w:t xml:space="preserve">Hitos clave: 500 usuarios premium y MRR de S/ 11,250 al mes 9 (marzo 2027). 780 usuarios premium y ARR proyectado de S/ 210,600 al mes 18 (diciembre 2027).</w:t>
      </w:r>
    </w:p>
    <w:p>
      <w:pPr>
        <w:pStyle w:val="Heading3"/>
        <w:spacing w:after="160" w:before="280"/>
      </w:pPr>
      <w:r>
        <w:rPr>
          <w:b/>
          <w:bCs/>
          <w:color w:val="1D4ED8"/>
          <w:sz w:val="24"/>
          <w:szCs w:val="24"/>
        </w:rPr>
        <w:t xml:space="preserve">Desglose de gastos operativos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Rubro de gasto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Meses 1–6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Meses 7–9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Meses 10–18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Nómina fundadores (2 pers.)</w:t>
            </w:r>
          </w:p>
        </w:tc>
        <w:tc>
          <w:p>
            <w:r>
              <w:rPr>
                <w:sz w:val="18"/>
                <w:szCs w:val="18"/>
              </w:rPr>
              <w:t xml:space="preserve">S/ 5.000</w:t>
            </w:r>
          </w:p>
        </w:tc>
        <w:tc>
          <w:p>
            <w:r>
              <w:rPr>
                <w:sz w:val="18"/>
                <w:szCs w:val="18"/>
              </w:rPr>
              <w:t xml:space="preserve">S/ 5.500</w:t>
            </w:r>
          </w:p>
        </w:tc>
        <w:tc>
          <w:p>
            <w:r>
              <w:rPr>
                <w:sz w:val="18"/>
                <w:szCs w:val="18"/>
              </w:rPr>
              <w:t xml:space="preserve">S/ 6.000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Infra AWS + APIs Gemini</w:t>
            </w:r>
          </w:p>
        </w:tc>
        <w:tc>
          <w:p>
            <w:r>
              <w:rPr>
                <w:sz w:val="18"/>
                <w:szCs w:val="18"/>
              </w:rPr>
              <w:t xml:space="preserve">S/ 400 – 800</w:t>
            </w:r>
          </w:p>
        </w:tc>
        <w:tc>
          <w:p>
            <w:r>
              <w:rPr>
                <w:sz w:val="18"/>
                <w:szCs w:val="18"/>
              </w:rPr>
              <w:t xml:space="preserve">S/ 1.200 – 1.800</w:t>
            </w:r>
          </w:p>
        </w:tc>
        <w:tc>
          <w:p>
            <w:r>
              <w:rPr>
                <w:sz w:val="18"/>
                <w:szCs w:val="18"/>
              </w:rPr>
              <w:t xml:space="preserve">S/ 1.800 – 2.500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Marketing y adquisición</w:t>
            </w:r>
          </w:p>
        </w:tc>
        <w:tc>
          <w:p>
            <w:r>
              <w:rPr>
                <w:sz w:val="18"/>
                <w:szCs w:val="18"/>
              </w:rPr>
              <w:t xml:space="preserve">S/ 300 – 900</w:t>
            </w:r>
          </w:p>
        </w:tc>
        <w:tc>
          <w:p>
            <w:r>
              <w:rPr>
                <w:sz w:val="18"/>
                <w:szCs w:val="18"/>
              </w:rPr>
              <w:t xml:space="preserve">S/ 1.500 – 2.200</w:t>
            </w:r>
          </w:p>
        </w:tc>
        <w:tc>
          <w:p>
            <w:r>
              <w:rPr>
                <w:sz w:val="18"/>
                <w:szCs w:val="18"/>
              </w:rPr>
              <w:t xml:space="preserve">S/ 1.200 – 1.600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Herramientas, legal, otros</w:t>
            </w:r>
          </w:p>
        </w:tc>
        <w:tc>
          <w:p>
            <w:r>
              <w:rPr>
                <w:sz w:val="18"/>
                <w:szCs w:val="18"/>
              </w:rPr>
              <w:t xml:space="preserve">S/ 200 – 250</w:t>
            </w:r>
          </w:p>
        </w:tc>
        <w:tc>
          <w:p>
            <w:r>
              <w:rPr>
                <w:sz w:val="18"/>
                <w:szCs w:val="18"/>
              </w:rPr>
              <w:t xml:space="preserve">S/ 300</w:t>
            </w:r>
          </w:p>
        </w:tc>
        <w:tc>
          <w:p>
            <w:r>
              <w:rPr>
                <w:sz w:val="18"/>
                <w:szCs w:val="18"/>
              </w:rPr>
              <w:t xml:space="preserve">S/ 350 – 400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Total estimado / mes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5.900 – 6.950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8.500 – 9.800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S/ 9.350 – 10.500</w:t>
            </w:r>
          </w:p>
        </w:tc>
      </w:tr>
    </w:tbl>
    <w:p>
      <w:pPr>
        <w:spacing w:before="160"/>
      </w:pPr>
    </w:p>
    <w:p>
      <w:pPr>
        <w:spacing w:after="140" w:line="360"/>
      </w:pPr>
      <w:r>
        <w:rPr>
          <w:color w:val="1E293B"/>
          <w:sz w:val="22"/>
          <w:szCs w:val="22"/>
        </w:rPr>
        <w:t xml:space="preserve">Supuestos de gastos: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Nómina: S/ 2.500 c/u (meses 1–6), S/ 2.750 c/u (meses 7–9), S/ 3.000 c/u (meses 10–18).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Infraestructura: escala con volumen de usuarios (AWS EC2/S3, APIs Gemini, Auth0, Mercado Pago).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Marketing: concentrado en febrero–marzo y agosto–octubre (temporadas de mayor demanda docente).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Meses 1–9 cubiertos por la ronda de S/ 60.000; a partir del mes 9–10 los ingresos empiezan a financiar la operación.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Punto de equilibrio operativo estimado: mes 8–9 (500 premium, MRR ~S/ 11,250 vs. gastos ~S/ 9,500/mes). Margen mensual al mes 18: ~S/ 7,450.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12. Roadmap próximos 9 meses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Mejora de UX/UI en flujos de conversión (registro → primer valor → pago).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Auditoría de ciberseguridad y fortalecimiento de infraestructura.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Expansión de módulos ATS y recursos para secundaria.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Meta: 500 usuarios premium al mes 9 (marzo 2027), alineado al inicio de clases.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Meta extendida: 700–800 usuarios premium al mes 18 (diciembre 2027).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Campaña de adquisición concentrada en febrero–marzo y agosto–octubre.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13. Propuesta de inversión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Ronda actual: S/ 60.000 por 25% de participación (valoración post-money: S/ 240.000).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Uso de fondos planificado: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S/ 45.000 — Equipo fundador full time (S/ 2.500 c/u × 9 meses).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S/ 8.000 — Mejora UX/UI (onboarding, pantallas de conversión, flujo de pago).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S/ 3.000 — Desarrollo técnico (ATS, integraciones, producto).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1E293B"/>
          <w:sz w:val="22"/>
          <w:szCs w:val="22"/>
        </w:rPr>
        <w:t xml:space="preserve">S/ 4.000 — Infraestructura, marketing y reserva operativa.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El inversor estratégico aporta capital + expertise en ciberseguridad y desarrollo, con participación sujeta a vesting según compromiso operativo.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14. Equipo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Equipo fundador compuesto por hermanos con experiencia en desarrollo de software y conocimiento directo del contexto educativo peruano. Desarrollo activo del producto desde la concepción hasta producción.</w:t>
      </w:r>
    </w:p>
    <w:p>
      <w:pPr>
        <w:pStyle w:val="Heading2"/>
        <w:spacing w:after="160" w:before="280"/>
      </w:pPr>
      <w:r>
        <w:rPr>
          <w:b/>
          <w:bCs/>
          <w:color w:val="1D4ED8"/>
          <w:sz w:val="28"/>
          <w:szCs w:val="28"/>
        </w:rPr>
        <w:t xml:space="preserve">15. Contacto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Plataforma: Docente Pro (docentepro.pe)</w:t>
      </w:r>
    </w:p>
    <w:p>
      <w:pPr>
        <w:spacing w:after="140" w:line="360"/>
      </w:pPr>
      <w:r>
        <w:rPr>
          <w:color w:val="1E293B"/>
          <w:sz w:val="22"/>
          <w:szCs w:val="22"/>
        </w:rPr>
        <w:t xml:space="preserve">Documento preparado para due diligence inicial. Información técnica detallada disponible bajo NDA.</w:t>
      </w:r>
    </w:p>
    <w:p>
      <w:pPr>
        <w:spacing w:before="400"/>
        <w:jc w:val="center"/>
      </w:pPr>
      <w:r>
        <w:rPr>
          <w:i/>
          <w:iCs/>
          <w:color w:val="64748B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Docente Pro ·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5af2a97d36326cb37831597fb82ab69070ed2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 Pro — Documentación para Inversores</dc:title>
  <dc:creator>Docente Pro</dc:creator>
  <dc:description>Resumen ejecutivo y visión técnica del producto SaaS</dc:description>
  <cp:lastModifiedBy>Un-named</cp:lastModifiedBy>
  <cp:revision>1</cp:revision>
  <dcterms:created xsi:type="dcterms:W3CDTF">2026-06-13T19:56:35.973Z</dcterms:created>
  <dcterms:modified xsi:type="dcterms:W3CDTF">2026-06-13T19:56:35.973Z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