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bdd77ff395fe1b5f84e0b31f4965210d53f23"/>
      <w:r>
        <w:t xml:space="preserve">Response to the C2PA Conformance Program — L2 Remediation + Sample Fixes</w:t>
      </w:r>
      <w:bookmarkEnd w:id="20"/>
    </w:p>
    <w:p>
      <w:pPr>
        <w:pStyle w:val="FirstParagraph"/>
      </w:pPr>
      <w:r>
        <w:rPr>
          <w:b/>
        </w:rPr>
        <w:t xml:space="preserve">From:</w:t>
      </w:r>
      <w:r>
        <w:t xml:space="preserve"> </w:t>
      </w:r>
      <w:r>
        <w:t xml:space="preserve">Shaun Hargadine, on behalf of Docent LLC (dba Docent Technologies)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2026-07-18</w:t>
      </w:r>
      <w:r>
        <w:t xml:space="preserve"> </w:t>
      </w:r>
      <w:r>
        <w:rPr>
          <w:b/>
        </w:rPr>
        <w:t xml:space="preserve">Re:</w:t>
      </w:r>
      <w:r>
        <w:t xml:space="preserve"> </w:t>
      </w:r>
      <w:r>
        <w:t xml:space="preserve">C2PA Generator Product Conformance Review nonconformities (your 2026-07-16 email)</w:t>
      </w:r>
      <w:r>
        <w:t xml:space="preserve"> </w:t>
      </w:r>
      <w:r>
        <w:rPr>
          <w:b/>
        </w:rPr>
        <w:t xml:space="preserve">Intake record ID:</w:t>
      </w:r>
      <w:r>
        <w:t xml:space="preserve"> </w:t>
      </w:r>
      <w:r>
        <w:rPr>
          <w:rStyle w:val="VerbatimChar"/>
        </w:rPr>
        <w:t xml:space="preserve">019f5856-bff8-7f57-a879-80594a6fb3fe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Scott,</w:t>
      </w:r>
    </w:p>
    <w:p>
      <w:pPr>
        <w:pStyle w:val="BodyText"/>
      </w:pPr>
      <w:r>
        <w:t xml:space="preserve">Thanks for the detailed review. Every item in your 2026-07-16 email has been</w:t>
      </w:r>
      <w:r>
        <w:t xml:space="preserve"> </w:t>
      </w:r>
      <w:r>
        <w:t xml:space="preserve">addressed. Everything below is in the attached bundle:</w:t>
      </w:r>
    </w:p>
    <w:p>
      <w:pPr>
        <w:pStyle w:val="BodyText"/>
      </w:pPr>
      <w:r>
        <w:rPr>
          <w:rStyle w:val="VerbatimChar"/>
          <w:b/>
        </w:rPr>
        <w:t xml:space="preserve">scruple-c2pa-conformance-response-2026-07-18.zip</w:t>
      </w:r>
    </w:p>
    <w:p>
      <w:pPr>
        <w:pStyle w:val="Heading2"/>
      </w:pPr>
      <w:bookmarkStart w:id="21" w:name="confirmations"/>
      <w:r>
        <w:t xml:space="preserve">Confirmations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Target assurance:</w:t>
      </w:r>
      <w:r>
        <w:t xml:space="preserve"> </w:t>
      </w:r>
      <w:r>
        <w:t xml:space="preserve">Level 2, remediated per your Conclusion &amp; Next Steps.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Legal entity:</w:t>
      </w:r>
      <w:r>
        <w:t xml:space="preserve"> </w:t>
      </w:r>
      <w:r>
        <w:t xml:space="preserve">Docent LLC (Delaware), dba Docent Technologies.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Product role:</w:t>
      </w:r>
      <w:r>
        <w:t xml:space="preserve"> </w:t>
      </w:r>
      <w:r>
        <w:t xml:space="preserve">Generator Product (Distributed class), unchanged from the</w:t>
      </w:r>
      <w:r>
        <w:t xml:space="preserve"> </w:t>
      </w:r>
      <w:r>
        <w:t xml:space="preserve">first submission.</w:t>
      </w:r>
    </w:p>
    <w:p>
      <w:pPr>
        <w:pStyle w:val="Heading2"/>
      </w:pPr>
      <w:bookmarkStart w:id="22" w:name="item-by-item"/>
      <w:r>
        <w:t xml:space="preserve">Item-by-item</w:t>
      </w:r>
      <w:bookmarkEnd w:id="22"/>
    </w:p>
    <w:p>
      <w:pPr>
        <w:pStyle w:val="Heading3"/>
      </w:pPr>
      <w:bookmarkStart w:id="23" w:name="X8c1503de15c00c285865cb729d249dfc609788a"/>
      <w:r>
        <w:t xml:space="preserve">Item 1 — L2 nonconformity (6.3.2 + 6.4.2, OS patch recency)</w:t>
      </w:r>
      <w:bookmarkEnd w:id="23"/>
    </w:p>
    <w:p>
      <w:pPr>
        <w:pStyle w:val="FirstParagraph"/>
      </w:pPr>
      <w:r>
        <w:rPr>
          <w:b/>
        </w:rPr>
        <w:t xml:space="preserve">Remediated by architectural change</w:t>
      </w:r>
      <w:r>
        <w:t xml:space="preserve">, per your Required Remediation clause.</w:t>
      </w:r>
    </w:p>
    <w:p>
      <w:pPr>
        <w:pStyle w:val="BodyText"/>
      </w:pPr>
      <w:r>
        <w:t xml:space="preserve">Signer CVMs now run in an OCI Instance Pool with a</w:t>
      </w:r>
      <w:r>
        <w:t xml:space="preserve"> </w:t>
      </w:r>
      <w:r>
        <w:rPr>
          <w:b/>
        </w:rPr>
        <w:t xml:space="preserve">60-day maximum instance</w:t>
      </w:r>
      <w:r>
        <w:rPr>
          <w:b/>
        </w:rPr>
        <w:t xml:space="preserve"> </w:t>
      </w:r>
      <w:r>
        <w:rPr>
          <w:b/>
        </w:rPr>
        <w:t xml:space="preserve">age</w:t>
      </w:r>
      <w:r>
        <w:t xml:space="preserve"> </w:t>
      </w:r>
      <w:r>
        <w:t xml:space="preserve">enforced by an OCI Function on a 6-hour schedule. No in-service Signer</w:t>
      </w:r>
      <w:r>
        <w:t xml:space="preserve"> </w:t>
      </w:r>
      <w:r>
        <w:t xml:space="preserve">CVM can exceed the window because the fleet manager physically replaces it,</w:t>
      </w:r>
      <w:r>
        <w:t xml:space="preserve"> </w:t>
      </w:r>
      <w:r>
        <w:t xml:space="preserve">provisioning from the current CI-verified golden image. The 30-day margin</w:t>
      </w:r>
      <w:r>
        <w:t xml:space="preserve"> </w:t>
      </w:r>
      <w:r>
        <w:t xml:space="preserve">inside the 90-day requirement absorbs schedule latency + drain time.</w:t>
      </w:r>
    </w:p>
    <w:p>
      <w:pPr>
        <w:pStyle w:val="BodyText"/>
      </w:pPr>
      <w:r>
        <w:t xml:space="preserve">Every signed manifest now carries an</w:t>
      </w:r>
      <w:r>
        <w:t xml:space="preserve"> </w:t>
      </w:r>
      <w:r>
        <w:rPr>
          <w:rStyle w:val="VerbatimChar"/>
        </w:rPr>
        <w:t xml:space="preserve">ai.scruple.signer-runtime.v1</w:t>
      </w:r>
      <w:r>
        <w:t xml:space="preserve"> </w:t>
      </w:r>
      <w:r>
        <w:t xml:space="preserve">assertion</w:t>
      </w:r>
      <w:r>
        <w:t xml:space="preserve"> </w:t>
      </w:r>
      <w:r>
        <w:t xml:space="preserve">binding the signing instance’s OCID, image OCID, creation timestamp, computed</w:t>
      </w:r>
      <w:r>
        <w:t xml:space="preserve"> </w:t>
      </w:r>
      <w:r>
        <w:t xml:space="preserve">age at sign time, and configured max-age policy — so any verifier can</w:t>
      </w:r>
      <w:r>
        <w:t xml:space="preserve"> </w:t>
      </w:r>
      <w:r>
        <w:t xml:space="preserve">independently confirm the signer was within the max-age window at signing.</w:t>
      </w:r>
    </w:p>
    <w:p>
      <w:pPr>
        <w:pStyle w:val="BodyText"/>
      </w:pPr>
      <w:r>
        <w:t xml:space="preserve">A secondary in-guest guardrail on the Signer itself refuses to sign if the</w:t>
      </w:r>
      <w:r>
        <w:t xml:space="preserve"> </w:t>
      </w:r>
      <w:r>
        <w:t xml:space="preserve">running CVM has aged past the policy, so a Function outage cannot silently</w:t>
      </w:r>
      <w:r>
        <w:t xml:space="preserve"> </w:t>
      </w:r>
      <w:r>
        <w:t xml:space="preserve">allow an over-age instance to keep signing.</w:t>
      </w:r>
    </w:p>
    <w:p>
      <w:pPr>
        <w:pStyle w:val="BodyText"/>
      </w:pPr>
      <w:r>
        <w:t xml:space="preserve">Design + evidence in: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security-architecture-delta/01-GPSA-delta.md</w:t>
      </w:r>
      <w:r>
        <w:t xml:space="preserve"> </w:t>
      </w:r>
      <w:r>
        <w:t xml:space="preserve">— full architectural</w:t>
      </w:r>
      <w:r>
        <w:t xml:space="preserve"> </w:t>
      </w:r>
      <w:r>
        <w:t xml:space="preserve">description, actuator wiring, C.2.3 / C.2.4 replacement text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security-architecture-delta/cvm-provision-delta.md</w:t>
      </w:r>
      <w:r>
        <w:t xml:space="preserve"> </w:t>
      </w:r>
      <w:r>
        <w:t xml:space="preserve">— updated operational</w:t>
      </w:r>
      <w:r>
        <w:t xml:space="preserve"> </w:t>
      </w:r>
      <w:r>
        <w:t xml:space="preserve">runbook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deploy/oci-signer-rotation/terraform/</w:t>
      </w:r>
      <w:r>
        <w:t xml:space="preserve"> </w:t>
      </w:r>
      <w:r>
        <w:t xml:space="preserve">— Instance Configuration, Instance</w:t>
      </w:r>
      <w:r>
        <w:t xml:space="preserve"> </w:t>
      </w:r>
      <w:r>
        <w:t xml:space="preserve">Pool, Function, Scheduler, IAM policies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deploy/oci-signer-rotation/function/rotate_signer_cvms.py</w:t>
      </w:r>
      <w:r>
        <w:t xml:space="preserve"> </w:t>
      </w:r>
      <w:r>
        <w:t xml:space="preserve">— rotation</w:t>
      </w:r>
      <w:r>
        <w:t xml:space="preserve"> </w:t>
      </w:r>
      <w:r>
        <w:t xml:space="preserve">Function code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services/c2pa-signer/signer_runtime.py</w:t>
      </w:r>
      <w:r>
        <w:t xml:space="preserve"> </w:t>
      </w:r>
      <w:r>
        <w:t xml:space="preserve">— in-guest age-guard + runtime</w:t>
      </w:r>
      <w:r>
        <w:t xml:space="preserve"> </w:t>
      </w:r>
      <w:r>
        <w:t xml:space="preserve">assertion emitter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Part-2-Runtime-Assertion-Sample/scruple-runtime-assertion-sample.png</w:t>
      </w:r>
      <w:r>
        <w:t xml:space="preserve"> </w:t>
      </w:r>
      <w:r>
        <w:t xml:space="preserve">—</w:t>
      </w:r>
      <w:r>
        <w:t xml:space="preserve"> </w:t>
      </w:r>
      <w:r>
        <w:t xml:space="preserve">illustrative signed asset carrying the runtime assertion (real production</w:t>
      </w:r>
      <w:r>
        <w:t xml:space="preserve"> </w:t>
      </w:r>
      <w:r>
        <w:t xml:space="preserve">values populated from IMDS at sign time)</w:t>
      </w:r>
    </w:p>
    <w:p>
      <w:pPr>
        <w:pStyle w:val="Heading3"/>
      </w:pPr>
      <w:bookmarkStart w:id="24" w:name="Xdd89adf68415f93508ec2cb8032b46f77cd740f"/>
      <w:r>
        <w:t xml:space="preserve">Item 2 —</w:t>
      </w:r>
      <w:r>
        <w:t xml:space="preserve"> </w:t>
      </w:r>
      <w:r>
        <w:rPr>
          <w:rStyle w:val="VerbatimChar"/>
        </w:rPr>
        <w:t xml:space="preserve">c2pa.created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digitalSourceType</w:t>
      </w:r>
      <w:bookmarkEnd w:id="24"/>
    </w:p>
    <w:p>
      <w:pPr>
        <w:pStyle w:val="FirstParagraph"/>
      </w:pPr>
      <w:r>
        <w:rPr>
          <w:b/>
        </w:rPr>
        <w:t xml:space="preserve">Fixed.</w:t>
      </w:r>
      <w:r>
        <w:t xml:space="preserve"> </w:t>
      </w:r>
      <w:r>
        <w:t xml:space="preserve">The evidence-sample builder and the production runtime signer</w:t>
      </w:r>
      <w:r>
        <w:t xml:space="preserve"> </w:t>
      </w:r>
      <w:r>
        <w:t xml:space="preserve">both migrated from raw</w:t>
      </w:r>
      <w:r>
        <w:t xml:space="preserve"> </w:t>
      </w:r>
      <w:r>
        <w:rPr>
          <w:rStyle w:val="VerbatimChar"/>
        </w:rPr>
        <w:t xml:space="preserve">c2pa.actions.v2</w:t>
      </w:r>
      <w:r>
        <w:t xml:space="preserve"> </w:t>
      </w:r>
      <w:r>
        <w:t xml:space="preserve">assertion injection to c2pa-python</w:t>
      </w:r>
      <w:r>
        <w:t xml:space="preserve"> </w:t>
      </w:r>
      <w:r>
        <w:t xml:space="preserve">0.89’s first-class</w:t>
      </w:r>
      <w:r>
        <w:t xml:space="preserve"> </w:t>
      </w:r>
      <w:r>
        <w:rPr>
          <w:rStyle w:val="VerbatimChar"/>
        </w:rPr>
        <w:t xml:space="preserve">Builder.set_intent(intent, digital_source_type)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Builder.add_action(...)</w:t>
      </w:r>
      <w:r>
        <w:t xml:space="preserve"> </w:t>
      </w:r>
      <w:r>
        <w:t xml:space="preserve">API. Every c2pa.created action now carries</w:t>
      </w:r>
      <w:r>
        <w:t xml:space="preserve"> </w:t>
      </w:r>
      <w:r>
        <w:rPr>
          <w:rStyle w:val="VerbatimChar"/>
        </w:rPr>
        <w:t xml:space="preserve">digitalSourceType: http://cv.iptc.org/newscodes/digitalsourcetype/trainedAlgorithmicMedia</w:t>
      </w:r>
      <w:r>
        <w:t xml:space="preserve"> </w:t>
      </w:r>
      <w:r>
        <w:t xml:space="preserve">(the accurate marker for Scruple’s canonical GenAI workload).</w:t>
      </w:r>
    </w:p>
    <w:p>
      <w:pPr>
        <w:pStyle w:val="Heading3"/>
      </w:pPr>
      <w:bookmarkStart w:id="25" w:name="X816947724a4a0979e40e84a1b41788f06e10139"/>
      <w:r>
        <w:t xml:space="preserve">Item 3a — c2pa.* assertions inside the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block</w:t>
      </w:r>
      <w:bookmarkEnd w:id="25"/>
    </w:p>
    <w:p>
      <w:pPr>
        <w:pStyle w:val="FirstParagraph"/>
      </w:pPr>
      <w:r>
        <w:rPr>
          <w:b/>
        </w:rPr>
        <w:t xml:space="preserve">Fixed as a side effect of the same API migration.</w:t>
      </w:r>
      <w:r>
        <w:t xml:space="preserve"> </w:t>
      </w:r>
      <w:r>
        <w:t xml:space="preserve">The intent-based path</w:t>
      </w:r>
      <w:r>
        <w:t xml:space="preserve"> </w:t>
      </w:r>
      <w:r>
        <w:t xml:space="preserve">routes assertions to the correct C2PA v2 bucket automatically. Regenerated</w:t>
      </w:r>
      <w:r>
        <w:t xml:space="preserve"> </w:t>
      </w:r>
      <w:r>
        <w:t xml:space="preserve">samples show one</w:t>
      </w:r>
      <w:r>
        <w:t xml:space="preserve"> </w:t>
      </w:r>
      <w:r>
        <w:rPr>
          <w:rStyle w:val="VerbatimChar"/>
        </w:rPr>
        <w:t xml:space="preserve">c2pa.actions.v2</w:t>
      </w:r>
      <w:r>
        <w:t xml:space="preserve"> </w:t>
      </w:r>
      <w:r>
        <w:t xml:space="preserve">block only, correctly placed.</w:t>
      </w:r>
    </w:p>
    <w:p>
      <w:pPr>
        <w:pStyle w:val="Heading3"/>
      </w:pPr>
      <w:bookmarkStart w:id="26" w:name="item-3b-inception-action-must-be-first"/>
      <w:r>
        <w:t xml:space="preserve">Item 3b — inception action must be first</w:t>
      </w:r>
      <w:bookmarkEnd w:id="26"/>
    </w:p>
    <w:p>
      <w:pPr>
        <w:pStyle w:val="FirstParagraph"/>
      </w:pPr>
      <w:r>
        <w:rPr>
          <w:b/>
        </w:rPr>
        <w:t xml:space="preserve">Fixed.</w:t>
      </w:r>
      <w:r>
        <w:t xml:space="preserve"> </w:t>
      </w:r>
      <w:r>
        <w:t xml:space="preserve">The SDK’s</w:t>
      </w:r>
      <w:r>
        <w:t xml:space="preserve"> </w:t>
      </w:r>
      <w:r>
        <w:rPr>
          <w:rStyle w:val="VerbatimChar"/>
        </w:rPr>
        <w:t xml:space="preserve">set_intent</w:t>
      </w:r>
      <w:r>
        <w:t xml:space="preserve"> </w:t>
      </w:r>
      <w:r>
        <w:t xml:space="preserve">emits the inception action as the first</w:t>
      </w:r>
      <w:r>
        <w:t xml:space="preserve"> </w:t>
      </w:r>
      <w:r>
        <w:t xml:space="preserve">entry in the actions array. Supplementary actions added via</w:t>
      </w:r>
      <w:r>
        <w:t xml:space="preserve"> </w:t>
      </w:r>
      <w:r>
        <w:rPr>
          <w:rStyle w:val="VerbatimChar"/>
        </w:rPr>
        <w:t xml:space="preserve">add_action</w:t>
      </w:r>
      <w:r>
        <w:t xml:space="preserve"> </w:t>
      </w:r>
      <w:r>
        <w:t xml:space="preserve">follow in insertion order after the inception action.</w:t>
      </w:r>
    </w:p>
    <w:p>
      <w:pPr>
        <w:pStyle w:val="Heading3"/>
      </w:pPr>
      <w:bookmarkStart w:id="27" w:name="X9afa728de573c510848d5dc23964b26fa45e8a8"/>
      <w:r>
        <w:t xml:space="preserve">Item 4 — .mov Validate.output validation mismatch</w:t>
      </w:r>
      <w:bookmarkEnd w:id="27"/>
    </w:p>
    <w:p>
      <w:pPr>
        <w:pStyle w:val="FirstParagraph"/>
      </w:pPr>
      <w:r>
        <w:rPr>
          <w:b/>
        </w:rPr>
        <w:t xml:space="preserve">Fixed as a side effect of the same API migration.</w:t>
      </w:r>
      <w:r>
        <w:t xml:space="preserve"> </w:t>
      </w:r>
      <w:r>
        <w:t xml:space="preserve">The pre-fix raw</w:t>
      </w:r>
      <w:r>
        <w:t xml:space="preserve"> </w:t>
      </w:r>
      <w:r>
        <w:t xml:space="preserve">manifest injection produced malformed action assertions inside the QuickTime</w:t>
      </w:r>
      <w:r>
        <w:t xml:space="preserve"> </w:t>
      </w:r>
      <w:r>
        <w:t xml:space="preserve">container. The regenerated</w:t>
      </w:r>
      <w:r>
        <w:t xml:space="preserve"> </w:t>
      </w:r>
      <w:r>
        <w:rPr>
          <w:rStyle w:val="VerbatimChar"/>
        </w:rPr>
        <w:t xml:space="preserve">.mov</w:t>
      </w:r>
      <w:r>
        <w:t xml:space="preserve"> </w:t>
      </w:r>
      <w:r>
        <w:t xml:space="preserve">Validate.output sample now validates</w:t>
      </w:r>
      <w:r>
        <w:t xml:space="preserve"> </w:t>
      </w:r>
      <w:r>
        <w:rPr>
          <w:rStyle w:val="VerbatimChar"/>
        </w:rPr>
        <w:t xml:space="preserve">state=Valid</w:t>
      </w:r>
      <w:r>
        <w:t xml:space="preserve"> </w:t>
      </w:r>
      <w:r>
        <w:t xml:space="preserve">with clean</w:t>
      </w:r>
      <w:r>
        <w:t xml:space="preserve"> </w:t>
      </w:r>
      <w:r>
        <w:rPr>
          <w:rStyle w:val="VerbatimChar"/>
        </w:rPr>
        <w:t xml:space="preserve">assertion.bmffHash.match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assertion.hashedURI.match</w:t>
      </w:r>
      <w:r>
        <w:t xml:space="preserve"> </w:t>
      </w:r>
      <w:r>
        <w:t xml:space="preserve">(actions + ingredient), and</w:t>
      </w:r>
      <w:r>
        <w:t xml:space="preserve"> </w:t>
      </w:r>
      <w:r>
        <w:rPr>
          <w:rStyle w:val="VerbatimChar"/>
        </w:rPr>
        <w:t xml:space="preserve">claimSignature.validated</w:t>
      </w:r>
      <w:r>
        <w:t xml:space="preserve">.</w:t>
      </w:r>
    </w:p>
    <w:p>
      <w:pPr>
        <w:pStyle w:val="Heading3"/>
      </w:pPr>
      <w:bookmarkStart w:id="28" w:name="X9b0aa9e74973f08f13f340a004f1c70387c9fbb"/>
      <w:r>
        <w:t xml:space="preserve">Item 5 — validate against your CA / TSA trust list corpus</w:t>
      </w:r>
      <w:bookmarkEnd w:id="28"/>
    </w:p>
    <w:p>
      <w:pPr>
        <w:pStyle w:val="FirstParagraph"/>
      </w:pPr>
      <w:r>
        <w:rPr>
          <w:b/>
        </w:rPr>
        <w:t xml:space="preserve">Done.</w:t>
      </w:r>
      <w:r>
        <w:t xml:space="preserve"> </w:t>
      </w:r>
      <w:r>
        <w:t xml:space="preserve">All six samples from</w:t>
      </w:r>
      <w:r>
        <w:t xml:space="preserve"> </w:t>
      </w:r>
      <w:r>
        <w:rPr>
          <w:rStyle w:val="VerbatimChar"/>
        </w:rPr>
        <w:t xml:space="preserve">Google_Samples/</w:t>
      </w:r>
      <w:r>
        <w:t xml:space="preserve"> </w:t>
      </w:r>
      <w:r>
        <w:t xml:space="preserve">were ingested and validated</w:t>
      </w:r>
      <w:r>
        <w:t xml:space="preserve"> </w:t>
      </w:r>
      <w:r>
        <w:t xml:space="preserve">by our reference validator. Per-sample JSON reports plus a summary README are</w:t>
      </w:r>
      <w:r>
        <w:t xml:space="preserve"> </w:t>
      </w:r>
      <w:r>
        <w:t xml:space="preserve">in the bundle 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trust-validation-results/README.md</w:t>
      </w:r>
      <w:r>
        <w:t xml:space="preserve"> </w:t>
      </w:r>
      <w:r>
        <w:t xml:space="preserve">— summary + findings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trust-validation-results/*.validation.json</w:t>
      </w:r>
      <w:r>
        <w:t xml:space="preserve"> </w:t>
      </w:r>
      <w:r>
        <w:t xml:space="preserve">— per-sample validation JSON</w:t>
      </w:r>
    </w:p>
    <w:p>
      <w:pPr>
        <w:pStyle w:val="FirstParagraph"/>
      </w:pPr>
      <w:r>
        <w:rPr>
          <w:b/>
        </w:rPr>
        <w:t xml:space="preserve">Notable finding in your corpus:</w:t>
      </w:r>
      <w:r>
        <w:t xml:space="preserve"> </w:t>
      </w:r>
      <w:r>
        <w:t xml:space="preserve">three of six samples (</w:t>
      </w:r>
      <w:r>
        <w:rPr>
          <w:rStyle w:val="VerbatimChar"/>
        </w:rPr>
        <w:t xml:space="preserve">sample-X-ingredientN.jpg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sample-X-ingredientN.m4a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sample-X-ingredientM.mp4</w:t>
      </w:r>
      <w:r>
        <w:t xml:space="preserve">) fail internal integrity</w:t>
      </w:r>
      <w:r>
        <w:t xml:space="preserve"> </w:t>
      </w:r>
      <w:r>
        <w:t xml:space="preserve">validation with</w:t>
      </w:r>
      <w:r>
        <w:t xml:space="preserve"> </w:t>
      </w:r>
      <w:r>
        <w:rPr>
          <w:rStyle w:val="VerbatimChar"/>
        </w:rPr>
        <w:t xml:space="preserve">signingCredential.expired</w:t>
      </w:r>
      <w:r>
        <w:t xml:space="preserve">. The Google Pixel signing certificate</w:t>
      </w:r>
      <w:r>
        <w:t xml:space="preserve"> </w:t>
      </w:r>
      <w:r>
        <w:t xml:space="preserve">chain used on those three appears to have aged out. Our validator correctly</w:t>
      </w:r>
      <w:r>
        <w:t xml:space="preserve"> </w:t>
      </w:r>
      <w:r>
        <w:t xml:space="preserve">flags this and refuses to consider the manifests valid. The three server-side-</w:t>
      </w:r>
      <w:r>
        <w:t xml:space="preserve"> </w:t>
      </w:r>
      <w:r>
        <w:t xml:space="preserve">signed samples (Google Core TSA) validate cleanly. Flagging back for your</w:t>
      </w:r>
      <w:r>
        <w:t xml:space="preserve"> </w:t>
      </w:r>
      <w:r>
        <w:t xml:space="preserve">awareness — you may want the Pixel-side chain refreshed.</w:t>
      </w:r>
    </w:p>
    <w:p>
      <w:pPr>
        <w:pStyle w:val="Heading2"/>
      </w:pPr>
      <w:bookmarkStart w:id="29" w:name="where-each-artifact-lives-in-the-zip"/>
      <w:r>
        <w:t xml:space="preserve">Where each artifact lives in the zip</w:t>
      </w:r>
      <w:bookmarkEnd w:id="2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remediation design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security-architecture-delta/01-GPSA-delta.md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 runbook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security-architecture-delta/cvm-provision-delta.md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Rotation stack (Terraform + Function)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deploy/oci-signer-rotation/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In-guest actuator + runtime assertion emitter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services/c2pa-signer/signer_runtime.py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Signer runtime wiring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services/c2pa-signer/sign.py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services/c2pa-signer/build_evidence_bundle.py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lib/c2pa/signAsset.ts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Regenerated Generate.output samples (15 MIMEs)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Part-1-Media-Samples/Generate.output.&lt;mime&gt;/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Regenerated Raw.input samples (20 MIMEs)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Part-1-Media-Samples/Raw.input.&lt;mime&gt;/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Regenerated Validate.output samples (18 MIMEs)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Part-1-Media-Samples/Validate.output.&lt;mime&gt;/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Runtime-assertion sample (illustrative)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Part-2-Runtime-Assertion-Sample/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 trust-list corpus (as received)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reviewer-samples/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Trust-list validation 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trust-validation-results/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Reviewer’s assessment PDF (for reference)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C2PA_Generator_Product_Conformance_Review.pdf</w:t>
            </w:r>
          </w:p>
        </w:tc>
      </w:tr>
    </w:tbl>
    <w:p>
      <w:pPr>
        <w:pStyle w:val="Heading2"/>
      </w:pPr>
      <w:bookmarkStart w:id="30" w:name="X2fd872fcb0c6739e646867a603dedd04abff3aa"/>
      <w:r>
        <w:t xml:space="preserve">Documented gaps (unchanged from prior submission)</w:t>
      </w:r>
      <w:bookmarkEnd w:id="30"/>
    </w:p>
    <w:p>
      <w:pPr>
        <w:pStyle w:val="FirstParagraph"/>
      </w:pPr>
      <w:r>
        <w:t xml:space="preserve">Three MIMEs still cannot be signed by the c2pa-python 0.89 wrapper used by</w:t>
      </w:r>
      <w:r>
        <w:t xml:space="preserve"> </w:t>
      </w:r>
      <w:r>
        <w:t xml:space="preserve">our bundle producer (</w:t>
      </w:r>
      <w:r>
        <w:rPr>
          <w:rStyle w:val="VerbatimChar"/>
        </w:rPr>
        <w:t xml:space="preserve">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application/x-pytorch</w:t>
      </w:r>
      <w:r>
        <w:t xml:space="preserve">). Raw inputs</w:t>
      </w:r>
      <w:r>
        <w:t xml:space="preserve"> </w:t>
      </w:r>
      <w:r>
        <w:t xml:space="preserve">are provided in</w:t>
      </w:r>
      <w:r>
        <w:t xml:space="preserve"> </w:t>
      </w:r>
      <w:r>
        <w:rPr>
          <w:rStyle w:val="VerbatimChar"/>
        </w:rPr>
        <w:t xml:space="preserve">Raw.input.&lt;mime&gt;/</w:t>
      </w:r>
      <w:r>
        <w:t xml:space="preserve"> </w:t>
      </w:r>
      <w:r>
        <w:t xml:space="preserve">and each affected</w:t>
      </w:r>
      <w:r>
        <w:t xml:space="preserve"> </w:t>
      </w:r>
      <w:r>
        <w:rPr>
          <w:rStyle w:val="VerbatimChar"/>
        </w:rPr>
        <w:t xml:space="preserve">Generate.output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Validate.output</w:t>
      </w:r>
      <w:r>
        <w:t xml:space="preserve"> </w:t>
      </w:r>
      <w:r>
        <w:t xml:space="preserve">folder contains a</w:t>
      </w:r>
      <w:r>
        <w:t xml:space="preserve"> </w:t>
      </w:r>
      <w:r>
        <w:rPr>
          <w:rStyle w:val="VerbatimChar"/>
        </w:rPr>
        <w:t xml:space="preserve">NOT_SUPPORTED.txt</w:t>
      </w:r>
      <w:r>
        <w:t xml:space="preserve"> </w:t>
      </w:r>
      <w:r>
        <w:t xml:space="preserve">explaining the</w:t>
      </w:r>
      <w:r>
        <w:t xml:space="preserve"> </w:t>
      </w:r>
      <w:r>
        <w:t xml:space="preserve">wrapper edge. Signed samples will follow when the wrapper exposes them.</w:t>
      </w:r>
    </w:p>
    <w:p>
      <w:pPr>
        <w:pStyle w:val="Heading2"/>
      </w:pPr>
      <w:bookmarkStart w:id="31" w:name="Xacfaeb6436b7d7e6958d8534dc93d4240204dd6"/>
      <w:r>
        <w:t xml:space="preserve">Optional secondary L2 mechanism (not implemented; available on request)</w:t>
      </w:r>
      <w:bookmarkEnd w:id="31"/>
    </w:p>
    <w:p>
      <w:pPr>
        <w:pStyle w:val="FirstParagraph"/>
      </w:pPr>
      <w:r>
        <w:t xml:space="preserve">The GPSA delta describes an alternative or supplementary path via Oracle OS</w:t>
      </w:r>
      <w:r>
        <w:t xml:space="preserve"> </w:t>
      </w:r>
      <w:r>
        <w:t xml:space="preserve">Management Hub (OSMH) that would report OS patch age directly rather than</w:t>
      </w:r>
      <w:r>
        <w:t xml:space="preserve"> </w:t>
      </w:r>
      <w:r>
        <w:t xml:space="preserve">substituting instance age. We did not implement this because the Instance</w:t>
      </w:r>
      <w:r>
        <w:t xml:space="preserve"> </w:t>
      </w:r>
      <w:r>
        <w:t xml:space="preserve">Pool rotation path satisfies the requirement architecturally without adding</w:t>
      </w:r>
      <w:r>
        <w:t xml:space="preserve"> </w:t>
      </w:r>
      <w:r>
        <w:t xml:space="preserve">an in-guest management agent to the TOE. If you prefer a direct patch-age</w:t>
      </w:r>
      <w:r>
        <w:t xml:space="preserve"> </w:t>
      </w:r>
      <w:r>
        <w:t xml:space="preserve">measurement in addition to the architectural rotation, we can add OSMH</w:t>
      </w:r>
      <w:r>
        <w:t xml:space="preserve"> </w:t>
      </w:r>
      <w:r>
        <w:t xml:space="preserve">self-check as Actuator 3 in a subsequent update.</w:t>
      </w:r>
    </w:p>
    <w:p>
      <w:pPr>
        <w:pStyle w:val="Heading2"/>
      </w:pPr>
      <w:bookmarkStart w:id="32" w:name="next-steps"/>
      <w:r>
        <w:t xml:space="preserve">Next steps</w:t>
      </w:r>
      <w:bookmarkEnd w:id="32"/>
    </w:p>
    <w:p>
      <w:pPr>
        <w:pStyle w:val="FirstParagraph"/>
      </w:pPr>
      <w:r>
        <w:t xml:space="preserve">Ready for the second review pass. Happy to walk any of the above through a</w:t>
      </w:r>
      <w:r>
        <w:t xml:space="preserve"> </w:t>
      </w:r>
      <w:r>
        <w:t xml:space="preserve">video-conference review at your convenience.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rPr>
          <w:b/>
        </w:rPr>
        <w:t xml:space="preserve">Shaun Hargadine</w:t>
      </w:r>
      <w:r>
        <w:t xml:space="preserve"> </w:t>
      </w:r>
      <w:r>
        <w:t xml:space="preserve">Docent LLC (dba Docent Technologies)</w:t>
      </w:r>
    </w:p>
    <w:p>
      <w:pPr>
        <w:numPr>
          <w:ilvl w:val="0"/>
          <w:numId w:val="1004"/>
        </w:numPr>
        <w:pStyle w:val="Compact"/>
      </w:pPr>
      <w:r>
        <w:t xml:space="preserve">Contact:</w:t>
      </w:r>
      <w:r>
        <w:t xml:space="preserve"> </w:t>
      </w:r>
      <w:r>
        <w:rPr>
          <w:rStyle w:val="VerbatimChar"/>
        </w:rPr>
        <w:t xml:space="preserve">scruple@docentechs.com</w:t>
      </w:r>
    </w:p>
    <w:p>
      <w:pPr>
        <w:numPr>
          <w:ilvl w:val="0"/>
          <w:numId w:val="1004"/>
        </w:numPr>
        <w:pStyle w:val="Compact"/>
      </w:pPr>
      <w:r>
        <w:t xml:space="preserve">Public product site:</w:t>
      </w:r>
      <w:r>
        <w:t xml:space="preserve"> </w:t>
      </w:r>
      <w:r>
        <w:rPr>
          <w:rStyle w:val="VerbatimChar"/>
        </w:rPr>
        <w:t xml:space="preserve">scruple.ai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2026-07-18T06:03:04Z</dcterms:created>
  <dcterms:modified xsi:type="dcterms:W3CDTF">2026-07-18T06:03:04Z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