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SAVA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Suporte Avançado de Vida em Anestesia</w:t>
      </w:r>
    </w:p>
    <w:p>
      <w:pPr>
        <w:pBdr>
          <w:bottom w:val="single" w:color="2E75B6" w:sz="6" w:space="10"/>
        </w:pBdr>
        <w:spacing w:after="100"/>
        <w:jc w:val="center"/>
      </w:pPr>
    </w:p>
    <w:p>
      <w:pPr>
        <w:spacing w:after="200" w:before="400"/>
        <w:jc w:val="center"/>
      </w:pPr>
      <w:r>
        <w:rPr>
          <w:b/>
          <w:bCs/>
          <w:color w:val="1B3A5C"/>
          <w:sz w:val="36"/>
          <w:szCs w:val="36"/>
        </w:rPr>
        <w:t xml:space="preserve">COMPILADO – DOCUMENTO 2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Aulas 5 a 8</w:t>
      </w:r>
    </w:p>
    <w:p>
      <w:pPr>
        <w:spacing w:after="100" w:before="200"/>
        <w:jc w:val="center"/>
      </w:pPr>
      <w:r>
        <w:rPr>
          <w:color w:val="2E75B6"/>
          <w:sz w:val="24"/>
          <w:szCs w:val="24"/>
        </w:rPr>
        <w:t xml:space="preserve">Ética e Liderança | LAST | Hipertermia Maligna | Anafilaxia</w:t>
      </w:r>
    </w:p>
    <w:p>
      <w:pPr>
        <w:spacing w:before="1200"/>
      </w:pPr>
    </w:p>
    <w:p>
      <w:pPr>
        <w:jc w:val="center"/>
      </w:pPr>
      <w:r>
        <w:rPr>
          <w:color w:val="666666"/>
          <w:sz w:val="20"/>
          <w:szCs w:val="20"/>
        </w:rPr>
        <w:t xml:space="preserve">Baseado nas Diretrizes ACLS 2020-2025 e Manual SAVA 1ª Ed.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Março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AULA 5 – ÉTICA, LIDERANÇA E TRABALHO EM EQUIPE NA RCP</w:t>
      </w:r>
    </w:p>
    <w:p>
      <w:pPr>
        <w:pStyle w:val="Heading2"/>
        <w:spacing w:after="160" w:before="280"/>
      </w:pPr>
      <w:r>
        <w:t xml:space="preserve">5.1. Critérios para Interrupção da RCP</w:t>
      </w:r>
    </w:p>
    <w:p>
      <w:pPr>
        <w:spacing w:after="120"/>
      </w:pPr>
      <w:r>
        <w:rPr>
          <w:b/>
          <w:bCs/>
        </w:rPr>
        <w:t xml:space="preserve">Situações em que se pode cessar a RCP: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Recuperação efetiva da circulação e respiração (RCE)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Transferência dos cuidados para profissionais médicos capacitados (ex: SAMU)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Transferência entre unidades de saúde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Reconhecimento seguro da morte do paciente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Exaustão ou circunstâncias de risco para o socorrista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Assistolia mantida &gt; 20 minutos </w:t>
      </w:r>
      <w:r>
        <w:t xml:space="preserve">sem causa reversível identificada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t xml:space="preserve">NÃO usar um fator isolado para decidir. Usar conjunto de fatores objetivos incluindo: ETCO2 &lt; 10 mmHg persistente, ritmo, tempo de PCR, causas reversíveis tratadas.</w:t>
      </w:r>
    </w:p>
    <w:p>
      <w:pPr>
        <w:pStyle w:val="Heading2"/>
        <w:spacing w:after="160" w:before="280"/>
      </w:pPr>
      <w:r>
        <w:t xml:space="preserve">5.2. ECMO na RCP (ECPR)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Países europeus avançaram significativamente no uso de ECMO durante RCP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Times de resposta especializados com intensivistas e cirurgiões cardiovasculares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Considerar em pacientes selecionados com prognóstico favorável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Requer infraestrutura e equipe treinada</w:t>
      </w:r>
    </w:p>
    <w:p>
      <w:pPr>
        <w:pStyle w:val="Heading2"/>
        <w:spacing w:after="160" w:before="280"/>
      </w:pPr>
      <w:r>
        <w:t xml:space="preserve">5.3. Liberdade Religiosa e Diretivas Antecipadas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Testemunhas de Jeová: </w:t>
      </w:r>
      <w:r>
        <w:t xml:space="preserve">recusa de transfusão sanguínea é direito do paciente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Diretivas antecipadas de vontade devem ser apresentadas preferencialmente na admissão hospitalar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Documentos escritos são preferíveis (decisões podem mudar ao longo do tempo)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Empresas especializadas auxiliam no suporte a essas situações</w:t>
      </w:r>
    </w:p>
    <w:p>
      <w:pPr>
        <w:pStyle w:val="Heading2"/>
        <w:spacing w:after="160" w:before="280"/>
      </w:pPr>
      <w:r>
        <w:t xml:space="preserve">5.4. Desafios da Pesquisa em Reanimação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Dificuldade de fazer ciência robusta no cenário da reanimação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Estabelecer consensos éticos é complexo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Termo de consentimento é dispensado devido ao imediatismo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maioria das recomendações da RCP tem baixo nível de evidência (C, 2B)</w:t>
      </w:r>
    </w:p>
    <w:p>
      <w:pPr>
        <w:pStyle w:val="Heading2"/>
        <w:spacing w:after="160" w:before="280"/>
      </w:pPr>
      <w:r>
        <w:t xml:space="preserve">5.5. Liderança e Dinâmica de Equipe</w:t>
      </w:r>
    </w:p>
    <w:p>
      <w:pPr>
        <w:spacing w:after="120"/>
      </w:pPr>
      <w:r>
        <w:rPr>
          <w:b/>
          <w:bCs/>
        </w:rPr>
        <w:t xml:space="preserve">Papel do líder durante a RCP: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Intervenção construtiva e orientação de condutas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Sugerir medicamentos ou doses quando necessário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Questionar decisões de forma respeitosa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Reavaliar continuamente a situação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prioridades e distribuir funções</w:t>
      </w:r>
    </w:p>
    <w:p>
      <w:pPr>
        <w:spacing w:after="120"/>
      </w:pPr>
      <w:r>
        <w:rPr>
          <w:b/>
          <w:bCs/>
        </w:rPr>
        <w:t xml:space="preserve">Princípios do trabalho em equipe: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Comunicação em alça fechada (sempre confirmar ordens recebidas)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Anunciar aos colegas o que está sendo feito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Compartilhar informações entre membros da equipe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ocorrem mais em ambientes caóticos – organização é essencial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 construtivo melhora performance ao longo do tempo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Coordenação entre emergência e bloco cirúrgico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t xml:space="preserve">Educação eficiente dos reanimadores + cadeia de sobrevivência implementada localmente = melhores desfechos.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AULA 6 – INTOXICAÇÃO SISTÊMICA POR ANESTÉSICOS LOCAIS (LAST)</w:t>
      </w:r>
    </w:p>
    <w:p>
      <w:pPr>
        <w:pStyle w:val="Heading2"/>
        <w:spacing w:after="160" w:before="280"/>
      </w:pPr>
      <w:r>
        <w:t xml:space="preserve">6.1. Epidemiologia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 mais comum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 mais envolvido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Apresentação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1979-2009 (93 casos)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Peridural (33%)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Ropivacaína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SNC + CV; maioria nos 1os 5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2010-2014 (67 casos)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Plexo braquial supraclavicular (23%)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Ropivacaína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SNC em 86%; casos tardios até 60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2014-2016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Diversos bloqueios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Ropivacaína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Ropivacaína continua predominando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Maioria dos casos nos primeiros 5-10 minutos após administração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Casos tardios (até 60 min) associados a infusão contínua via cateter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Ropivacaína: apesar de considerada mais segura, é a mais frequentemente envolvida (por ser a mais utilizada)</w:t>
      </w:r>
    </w:p>
    <w:p>
      <w:pPr>
        <w:pStyle w:val="Heading2"/>
        <w:spacing w:after="160" w:before="280"/>
      </w:pPr>
      <w:r>
        <w:t xml:space="preserve">6.2. Fatores de Risco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Idosos: </w:t>
      </w:r>
      <w:r>
        <w:t xml:space="preserve">alteração na ligação proteica (maior fração livre), clearance reduzido, função hepática/CYP450 reduzida, baixa massa muscular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Comorbidades: </w:t>
      </w:r>
      <w:r>
        <w:t xml:space="preserve">cardiopatias, doenças hepáticas, doenças metabólicas, doenças mitocondriais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Hipoproteinemia: </w:t>
      </w:r>
      <w:r>
        <w:t xml:space="preserve">maior fração livre do anestésico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Baixa fração de ejeção: </w:t>
      </w:r>
      <w:r>
        <w:t xml:space="preserve">maior sensibilidade à LAST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Mecanismo: </w:t>
      </w:r>
      <w:r>
        <w:t xml:space="preserve">anestésico local causa disfunção mitocondrial celular</w:t>
      </w:r>
    </w:p>
    <w:p>
      <w:pPr>
        <w:pStyle w:val="Heading2"/>
        <w:spacing w:after="160" w:before="280"/>
      </w:pPr>
      <w:r>
        <w:t xml:space="preserve">6.3. Prevenção</w:t>
      </w:r>
    </w:p>
    <w:p>
      <w:pPr>
        <w:pBdr>
          <w:left w:val="single" w:color="C0392B" w:sz="12" w:space="8"/>
        </w:pBdr>
        <w:spacing w:after="120" w:before="120"/>
        <w:ind w:left="200"/>
      </w:pPr>
      <w:r>
        <w:rPr>
          <w:b/>
          <w:bCs/>
          <w:color w:val="C0392B"/>
        </w:rPr>
        <w:t xml:space="preserve">🚨 ALERTA: </w:t>
      </w:r>
      <w:r>
        <w:t xml:space="preserve">Nenhuma medida isolada previne 100% a intoxicação!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Ultrassonografia: </w:t>
      </w:r>
      <w:r>
        <w:t xml:space="preserve">reduz dose necessária e melhora segurança, mas NÃO elimina o risco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Menor dose efetiva: </w:t>
      </w:r>
      <w:r>
        <w:t xml:space="preserve">calcular pelo PESO IDEAL do paciente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Dose teste: </w:t>
      </w:r>
      <w:r>
        <w:t xml:space="preserve">AL + vasoconstritor (adrenalina 2,5-5 µg/mL, total 10-15 µg)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Doses fracionadas: </w:t>
      </w:r>
      <w:r>
        <w:t xml:space="preserve">3-5 mL por vez, a cada 15-45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Aspiração da agulha: </w:t>
      </w:r>
      <w:r>
        <w:t xml:space="preserve">antes de cada injeção (taxa de falso negativo: ~2%)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Comunicação com paciente durante e após a injeção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Monitorização: </w:t>
      </w:r>
      <w:r>
        <w:t xml:space="preserve">pelo menos 45 minutos após administração</w:t>
      </w:r>
    </w:p>
    <w:p>
      <w:pPr>
        <w:pStyle w:val="Heading2"/>
        <w:spacing w:after="160" w:before="280"/>
      </w:pPr>
      <w:r>
        <w:t xml:space="preserve">6.4. Apresentação Clínica</w:t>
      </w:r>
    </w:p>
    <w:p>
      <w:pPr>
        <w:pStyle w:val="Heading3"/>
        <w:spacing w:after="120" w:before="200"/>
      </w:pPr>
      <w:r>
        <w:t xml:space="preserve">Apresentação Clássica (bifásica)</w:t>
      </w:r>
    </w:p>
    <w:p>
      <w:pPr>
        <w:spacing w:after="120"/>
      </w:pPr>
      <w:r>
        <w:rPr>
          <w:b/>
          <w:bCs/>
        </w:rPr>
        <w:t xml:space="preserve">Fase 1 – Excitação (inibição dos sistemas inibitórios):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Agitação, confusão, alterações auditivas/visuais (zumbido, diplopia)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Hipertensão, taquicardia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Gosto metálico, dormência perioral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Contrações musculares, convulsões</w:t>
      </w:r>
    </w:p>
    <w:p>
      <w:pPr>
        <w:spacing w:after="120"/>
      </w:pPr>
      <w:r>
        <w:rPr>
          <w:b/>
          <w:bCs/>
        </w:rPr>
        <w:t xml:space="preserve">Fase 2 – Depressão: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Sonolência, obnubilação, coma, apneia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Hipotensão progressiva, bradicardia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Bloqueio de condução, arritmias ventriculares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Assistolia</w:t>
      </w:r>
    </w:p>
    <w:p>
      <w:pPr>
        <w:pStyle w:val="Heading3"/>
        <w:spacing w:after="120" w:before="200"/>
      </w:pPr>
      <w:r>
        <w:t xml:space="preserve">Temporalidade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1 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Administração intravascular direta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Injeção IV acidental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1-5 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Injeção parcial ou sítio de alta absorção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Absorção rápida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 - 12h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Acúmulo progressivo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Infusão contínua via cateter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200"/>
      </w:pPr>
      <w:r>
        <w:t xml:space="preserve">A sedação pode abolir a capacidade do paciente de reconhecer ou relatar sintomas de LAST. A apresentação cardiovascular pode ser a úNICA manifestação.</w:t>
      </w:r>
    </w:p>
    <w:p>
      <w:pPr>
        <w:pStyle w:val="Heading2"/>
        <w:spacing w:after="160" w:before="280"/>
      </w:pPr>
      <w:r>
        <w:t xml:space="preserve">6.5. Tratamento</w:t>
      </w:r>
    </w:p>
    <w:p>
      <w:pPr>
        <w:pStyle w:val="Heading3"/>
        <w:spacing w:after="120" w:before="200"/>
      </w:pPr>
      <w:r>
        <w:t xml:space="preserve">6.5.1. Medidas Iniciais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Parar a injeção do AL imediatamente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Controle precoce de via aérea com O2 100%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Solicitar emulsão lipídica 20% ao primeiro sinal de intoxicação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Chamar ajuda</w:t>
      </w:r>
    </w:p>
    <w:p>
      <w:pPr>
        <w:pStyle w:val="Heading3"/>
        <w:spacing w:after="120" w:before="200"/>
      </w:pPr>
      <w:r>
        <w:t xml:space="preserve">6.5.2. Controle de Convulsões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1ª opção: </w:t>
      </w:r>
      <w:r>
        <w:t xml:space="preserve">Benzodiazepínicos (midazolam, diazepam)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2ª opção: </w:t>
      </w:r>
      <w:r>
        <w:t xml:space="preserve">Propofol em doses fracionadas (cuidado com cardiodepressão)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BNM: </w:t>
      </w:r>
      <w:r>
        <w:t xml:space="preserve">controlam movimentos, mas NÃO tratam a convulsão</w:t>
      </w:r>
    </w:p>
    <w:p>
      <w:pPr>
        <w:pStyle w:val="Heading3"/>
        <w:spacing w:after="120" w:before="200"/>
      </w:pPr>
      <w:r>
        <w:t xml:space="preserve">6.5.3. Emulsão Lipídica a 20% – Protocolo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Paciente &gt; 70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Paciente &lt; 70 kg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 mL/kg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Infusão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200-250 mL em 15-20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0,25 mL/kg/min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resposta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Repetir bolus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Repetir bolus 1,5 mL/kg + aumentar para 0,5 mL/kg/min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 máxima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10-12 mL/kg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10-12 mL/kg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Continuar infusão por pelo menos 10 minutos após estabilidade hemodinâmica</w:t>
      </w:r>
    </w:p>
    <w:p>
      <w:pPr>
        <w:pBdr>
          <w:left w:val="single" w:color="C0392B" w:sz="12" w:space="8"/>
        </w:pBdr>
        <w:spacing w:after="120" w:before="120"/>
        <w:ind w:left="200"/>
      </w:pPr>
      <w:r>
        <w:rPr>
          <w:b/>
          <w:bCs/>
          <w:color w:val="C0392B"/>
        </w:rPr>
        <w:t xml:space="preserve">🚨 ALERTA: </w:t>
      </w:r>
      <w:r>
        <w:t xml:space="preserve">PROPOFOL NUNCA substitui emulsão lipídica – não tem quantidade suficiente de triglicerídeos de cadeia média!</w:t>
      </w:r>
    </w:p>
    <w:p>
      <w:pPr>
        <w:pStyle w:val="Heading3"/>
        <w:spacing w:after="120" w:before="200"/>
      </w:pPr>
      <w:r>
        <w:t xml:space="preserve">6.5.4. Mecanismo da Emulsão Lipídica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Efeito de lavagem (lipid sink): </w:t>
      </w:r>
      <w:r>
        <w:t xml:space="preserve">liga-se ao AL, remove da circulação, desloca para fígado e músculo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Melhora do déficit cardíaco e função mitocondrial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Melhora do pós-condicionamento cardíaco</w:t>
      </w:r>
    </w:p>
    <w:p>
      <w:pPr>
        <w:pStyle w:val="Heading3"/>
        <w:spacing w:after="120" w:before="200"/>
      </w:pPr>
      <w:r>
        <w:t xml:space="preserve">6.5.5. PCR por LAST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Adrenalina em dose REDUZIDA: </w:t>
      </w:r>
      <w:r>
        <w:t xml:space="preserve">1 µg/kg (recomendação da ASRA)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EVITAR: </w:t>
      </w:r>
      <w:r>
        <w:t xml:space="preserve">lidocaína/amidas como antiarrítmicos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EVITAR: </w:t>
      </w:r>
      <w:r>
        <w:t xml:space="preserve">bloqueadores de canal de cálcio e beta-bloqueadores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Considerar bypass cardiopulmonar (CEC) em situações prolongadas</w:t>
      </w:r>
    </w:p>
    <w:p>
      <w:pPr>
        <w:pStyle w:val="Heading3"/>
        <w:spacing w:after="120" w:before="200"/>
      </w:pPr>
      <w:r>
        <w:t xml:space="preserve">6.5.6. Monitorização Pós-evento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Evento cardiovascular: </w:t>
      </w:r>
      <w:r>
        <w:t xml:space="preserve">monitorizar por 4-6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Evento limitado ao SNC: </w:t>
      </w:r>
      <w:r>
        <w:t xml:space="preserve">monitorizar por pelo menos 2 horas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b/>
          <w:bCs/>
        </w:rPr>
        <w:t xml:space="preserve">Mensagem principal: </w:t>
      </w:r>
      <w:r>
        <w:t xml:space="preserve">PREVENÇÃO é fundamental. Parada por toxicidade tem progóstico pior e é de difícil tratamento.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AULA 7 – HIPERTERMIA MALIGNA (HM)</w:t>
      </w:r>
    </w:p>
    <w:p>
      <w:pPr>
        <w:pStyle w:val="Heading2"/>
        <w:spacing w:after="160" w:before="280"/>
      </w:pPr>
      <w:r>
        <w:t xml:space="preserve">7.1. Fisiopatologia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Mecanismo principal: </w:t>
      </w:r>
      <w:r>
        <w:t xml:space="preserve">alteração do receptor de rianodina (RyR1)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Receptor fica permanentemente aberto quando exposto a agente inalatório ou succinilcolina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Passagem contínua de cálcio para o sarcoplasma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Consequência: </w:t>
      </w:r>
      <w:r>
        <w:t xml:space="preserve">rigidez muscular + hipermetabolismo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Célula tenta bombear cálcio de volta usando ATP: altíssima demanda energética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Mecanismo menos comum: alteração do receptor DHPR (di-hidropiridina)</w:t>
      </w:r>
    </w:p>
    <w:p>
      <w:pPr>
        <w:pStyle w:val="Heading2"/>
        <w:spacing w:after="160" w:before="280"/>
      </w:pPr>
      <w:r>
        <w:t xml:space="preserve">7.2. Manifestações Clínicas</w:t>
      </w:r>
    </w:p>
    <w:p>
      <w:pPr>
        <w:spacing w:after="120"/>
      </w:pPr>
      <w:r>
        <w:rPr>
          <w:b/>
          <w:bCs/>
        </w:rPr>
        <w:t xml:space="preserve">Sinais precoces: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Aumento do CO2 (ETCO2) – SINAL MAIS PRECOCE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Taquicardia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Aumento do consumo de O2</w:t>
      </w:r>
    </w:p>
    <w:p>
      <w:pPr>
        <w:spacing w:after="120"/>
      </w:pPr>
      <w:r>
        <w:rPr>
          <w:b/>
          <w:bCs/>
        </w:rPr>
        <w:t xml:space="preserve">Sinais progressivos: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Rigidez muscular (clássica)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Acidose metabólica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Aumento da temperatura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Rabdomiólise: </w:t>
      </w:r>
      <w:r>
        <w:t xml:space="preserve">CPK elevada, liberação de potássio, mioglobinúria</w:t>
      </w:r>
    </w:p>
    <w:p>
      <w:pPr>
        <w:spacing w:after="120"/>
      </w:pPr>
      <w:r>
        <w:rPr>
          <w:b/>
          <w:bCs/>
        </w:rPr>
        <w:t xml:space="preserve">Complicações graves: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Coagulopatia por consumo de fatores e plaquetas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CIVD (Coagulação Intravascular Disseminada): </w:t>
      </w:r>
      <w:r>
        <w:t xml:space="preserve">complicação mais grave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Insuficiência renal aguda (por mioglobina)</w:t>
      </w:r>
    </w:p>
    <w:p>
      <w:pPr>
        <w:pStyle w:val="Heading2"/>
        <w:spacing w:after="160" w:before="280"/>
      </w:pPr>
      <w:r>
        <w:t xml:space="preserve">7.3. Diagnóstico Diferencial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Problemas com circuito inalatório ou aparelho de anestesia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Síndrome serotoninérgica: </w:t>
      </w:r>
      <w:r>
        <w:t xml:space="preserve">pacientes em uso de antidepressivos + opioides/cetamina – também apresenta rigidez, hipertermia, taquicardia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Feocromocitoma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Tempestade tireotóxica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t xml:space="preserve">Sempre descartar causas mais comuns de aumento de CO2 antes de confirmar diagnóstico de HM.</w:t>
      </w:r>
    </w:p>
    <w:p>
      <w:pPr>
        <w:pStyle w:val="Heading2"/>
        <w:spacing w:after="160" w:before="280"/>
      </w:pPr>
      <w:r>
        <w:t xml:space="preserve">7.4. Conduta – Tratamento</w:t>
      </w:r>
    </w:p>
    <w:p>
      <w:pPr>
        <w:pBdr>
          <w:left w:val="single" w:color="C0392B" w:sz="12" w:space="8"/>
        </w:pBdr>
        <w:spacing w:after="120" w:before="120"/>
        <w:ind w:left="200"/>
      </w:pPr>
      <w:r>
        <w:rPr>
          <w:b/>
          <w:bCs/>
          <w:color w:val="C0392B"/>
        </w:rPr>
        <w:t xml:space="preserve">🚨 ALERTA: </w:t>
      </w:r>
      <w:r>
        <w:t xml:space="preserve">Quanto mais tempo para iniciar o tratamento, mais grave o caso e mais difícil a reversão!</w:t>
      </w:r>
    </w:p>
    <w:p>
      <w:pPr>
        <w:pStyle w:val="Heading3"/>
        <w:spacing w:after="120" w:before="200"/>
      </w:pPr>
      <w:r>
        <w:t xml:space="preserve">7.4.1. Medidas Imediatas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1. ELIMINAR o agente desencadeante</w:t>
      </w:r>
      <w:r>
        <w:t xml:space="preserve"> (desligar halogenado, suspender succinilcolina)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Chamar ajuda e solicitar kit de Dantrolene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Ventilar com FGF ~10 L/min </w:t>
      </w:r>
      <w:r>
        <w:t xml:space="preserve">(O2 100%) para lavar o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NÃO é necessário trocar o circuito (recomendação atual)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Acelerar ou interromper o procedimento cirúrgico</w:t>
      </w:r>
    </w:p>
    <w:p>
      <w:pPr>
        <w:pStyle w:val="Heading3"/>
        <w:spacing w:after="120" w:before="200"/>
      </w:pPr>
      <w:r>
        <w:t xml:space="preserve">7.4.2. Dantrolene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Dose: </w:t>
      </w:r>
      <w:r>
        <w:t xml:space="preserve">2-2,5 mg/kg IV em bolus, repetir a cada 5-10 min até controle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Dose máxima: </w:t>
      </w:r>
      <w:r>
        <w:t xml:space="preserve">10 mg/kg (pode ser excedida em casos refratários)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prognóstico depende diretamente do início precoce do Dantrolene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Manutenção: </w:t>
      </w:r>
      <w:r>
        <w:t xml:space="preserve">1 mg/kg IV a cada 4-6h por 24-48h</w:t>
      </w:r>
    </w:p>
    <w:p>
      <w:pPr>
        <w:pStyle w:val="Heading3"/>
        <w:spacing w:after="120" w:before="200"/>
      </w:pPr>
      <w:r>
        <w:t xml:space="preserve">7.4.3. Medidas de Suporte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Interromper aquecimento do paciente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Resfriamento ativo: bolsas de gelo, lavagem vesical com SF gelado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E67E22"/>
        </w:rPr>
        <w:t xml:space="preserve">NÃO recomendado atualmente: </w:t>
      </w:r>
      <w:r>
        <w:t xml:space="preserve">lavagem peritoneal para resfriamento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Tratar hipercalemia: bicarbonato, glicose + insulina, cálcio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Monitorar e tratar coagulopatia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Hidratar vigorosamente (proteção renal contra mioglobina)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Manter débito urinário &gt; 2 mL/kg/h</w:t>
      </w:r>
    </w:p>
    <w:p>
      <w:pPr>
        <w:pStyle w:val="Heading3"/>
        <w:spacing w:after="120" w:before="200"/>
      </w:pPr>
      <w:r>
        <w:t xml:space="preserve">7.4.4. Considerações Práticas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Custo: </w:t>
      </w:r>
      <w:r>
        <w:t xml:space="preserve">~R$ 300/frasco; kit completo ~R$ 2.000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Obrigatoriedade legal: </w:t>
      </w:r>
      <w:r>
        <w:t xml:space="preserve">hospitais devem ter 36 frascos (equivalente a tratar paciente de 70 kg)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AULA 8 – ANAFILAXIA EM ANESTESIA</w:t>
      </w:r>
    </w:p>
    <w:p>
      <w:pPr>
        <w:pStyle w:val="Heading2"/>
        <w:spacing w:after="160" w:before="280"/>
      </w:pPr>
      <w:r>
        <w:t xml:space="preserve">8.1. Reconhecimento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Reconhecer anafilaxia o mais rapidamente possível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ATENÇÃO: </w:t>
      </w:r>
      <w:r>
        <w:t xml:space="preserve">urticária pode NÃO estar presente (campos cirúrgicos cobrem a pele)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Hipotensão é o sinal mais importante </w:t>
      </w:r>
      <w:r>
        <w:t xml:space="preserve">para o anestesiologista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Pode ser imunomediada (IgE) ou não imunomediada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Pode ocorrer até 1 hora após exposição à droga</w:t>
      </w:r>
    </w:p>
    <w:p>
      <w:pPr>
        <w:pBdr>
          <w:left w:val="single" w:color="E67E22" w:sz="12" w:space="8"/>
        </w:pBdr>
        <w:spacing w:after="120" w:before="120"/>
        <w:ind w:left="200"/>
      </w:pPr>
      <w:r>
        <w:rPr>
          <w:b/>
          <w:bCs/>
          <w:color w:val="E67E22"/>
        </w:rPr>
        <w:t xml:space="preserve">⚠ MUDANÇA/DESTAQUE ACLS 2025: </w:t>
      </w:r>
      <w:r>
        <w:t xml:space="preserve">15% dos pacientes pioram quando hipotensão pós-droga não é valorizada. Sempre considerar anafilaxia no diagnóstico diferencial de hipotensão inexplicada.</w:t>
      </w:r>
    </w:p>
    <w:p>
      <w:pPr>
        <w:pStyle w:val="Heading2"/>
        <w:spacing w:after="160" w:before="280"/>
      </w:pPr>
      <w:r>
        <w:t xml:space="preserve">8.2. Manejo Inicial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Remover TODOS os desencadeadores: </w:t>
      </w:r>
      <w:r>
        <w:t xml:space="preserve">interromper medicações, trocar soro + equipo, retirar látex, limpar pele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Garantir via aérea precocemente (risco de edema)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O2 a 100%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Posição de Trendelenburg (melhorar retorno venoso)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Reposição hídrica abundante com cristaloides (CUIDADO com coloides – podem ser a causa!)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Manter PAS &gt; 90 mmHg</w:t>
      </w:r>
    </w:p>
    <w:p>
      <w:pPr>
        <w:pStyle w:val="Heading2"/>
        <w:spacing w:after="160" w:before="280"/>
      </w:pPr>
      <w:r>
        <w:t xml:space="preserve">8.3. Tratamento por Grau de Gravidade (Escala de Higgins e Mesa)</w:t>
      </w:r>
    </w:p>
    <w:p>
      <w:pPr>
        <w:pStyle w:val="Heading3"/>
        <w:spacing w:after="120" w:before="200"/>
      </w:pPr>
      <w:r>
        <w:t xml:space="preserve">Grau 1 – Reação Cutânea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Bloqueador H1 e/ou H2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Hidrocortisona 250 mg IV ou Metilprednisolona 80 mg IV</w:t>
      </w:r>
    </w:p>
    <w:p>
      <w:pPr>
        <w:pStyle w:val="Heading3"/>
        <w:spacing w:after="120" w:before="200"/>
      </w:pPr>
      <w:r>
        <w:t xml:space="preserve">Grau 2 – Reação Moderada (com hipotensão ou broncoespasmo)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Medicações do Grau 1 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Adrenalina: </w:t>
      </w:r>
      <w:r>
        <w:t xml:space="preserve">100-300 µg IV em doses escalonadas</w:t>
      </w:r>
    </w:p>
    <w:p>
      <w:pPr>
        <w:pStyle w:val="Heading3"/>
        <w:spacing w:after="120" w:before="200"/>
      </w:pPr>
      <w:r>
        <w:t xml:space="preserve">Grau 3 – Reação Grave (choque)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Medicações do Grau 1 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Adrenalina: </w:t>
      </w:r>
      <w:r>
        <w:t xml:space="preserve">100-200 µg IV a cada 1-2 minutos (dose duplicada)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Glucagon: </w:t>
      </w:r>
      <w:r>
        <w:t xml:space="preserve">considerar em usuários de beta-bloqueador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Beta-agonistas inalatórios: </w:t>
      </w:r>
      <w:r>
        <w:t xml:space="preserve">em broncoespasmo severo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Vasopressina: </w:t>
      </w:r>
      <w:r>
        <w:t xml:space="preserve">2 UI bolus + 2 UI/hora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Azul de metileno: </w:t>
      </w:r>
      <w:r>
        <w:t xml:space="preserve">1-2 mg/kg (medida heroíca – bloqueia óxido nítrico)</w:t>
      </w:r>
    </w:p>
    <w:p>
      <w:pPr>
        <w:pStyle w:val="Heading3"/>
        <w:spacing w:after="120" w:before="200"/>
      </w:pPr>
      <w:r>
        <w:t xml:space="preserve">Grau 4 – PCR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Protocolo de PCR padrão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Adrenalina: </w:t>
      </w:r>
      <w:r>
        <w:t xml:space="preserve">1 mg IV (dose padrão de PCR)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Vasopressina: </w:t>
      </w:r>
      <w:r>
        <w:t xml:space="preserve">40 UI IV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Compressões torácicas de alta qualidade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Considerar interrupção da cirurgia</w:t>
      </w:r>
    </w:p>
    <w:p>
      <w:pPr>
        <w:pStyle w:val="Heading2"/>
        <w:spacing w:after="160" w:before="280"/>
      </w:pPr>
      <w:r>
        <w:t xml:space="preserve">8.4. Dosagens de Adrenalina na Anafilaxia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Adrenalina IV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Grau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100-300 µg escalonadas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Repetir conforme necessidade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Grau 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100-200 µg a cada 1-2 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Dose duplicada; considerar infusão contínua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Grau 4 (PCR)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mg (dose padrão PCR)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Protocolo ACLS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200"/>
      </w:pPr>
      <w:r>
        <w:t xml:space="preserve">Na anestesia, a adrenalina é administrada por via IV (NÃO intramuscular), por já ter acesso venoso disponível e por permitir titular a dose.</w:t>
      </w:r>
    </w:p>
    <w:p>
      <w:pPr>
        <w:pStyle w:val="Heading2"/>
        <w:spacing w:after="160" w:before="280"/>
      </w:pPr>
      <w:r>
        <w:t xml:space="preserve">8.5. Manejo Pós-Evento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UTI por 24 horas </w:t>
      </w:r>
      <w:r>
        <w:t xml:space="preserve">(risco de recorrência)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Corticoide por 72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Coleta de sangue para triptase </w:t>
      </w:r>
      <w:r>
        <w:t xml:space="preserve">(3 amostras: imediata, 1-2h e &gt;24h)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Encaminhamento para imunologista </w:t>
      </w:r>
      <w:r>
        <w:t xml:space="preserve">com relatório cronológico detalhado</w:t>
      </w:r>
    </w:p>
    <w:p>
      <w:pPr>
        <w:spacing w:after="120"/>
      </w:pPr>
      <w:r>
        <w:rPr>
          <w:b/>
          <w:bCs/>
        </w:rPr>
        <w:t xml:space="preserve">Documentar: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Todas as medicações administradas com horários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Momento exato do evento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Progressão dos sintomas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Tratamento realizado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Processo de investigação pode demorar &gt; 100 dias</w:t>
      </w:r>
    </w:p>
    <w:p>
      <w:pPr>
        <w:pStyle w:val="Heading2"/>
        <w:spacing w:after="160" w:before="280"/>
      </w:pPr>
      <w:r>
        <w:t xml:space="preserve">8.6. Estatísticas e Dados Relevantes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Anestesiologista com ação proativa: &gt; 96% de sobrevivência nos casos de anafilaxia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Pacientes idosos e obesos: maior risco de PCR e morte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Teicoplanina: </w:t>
      </w:r>
      <w:r>
        <w:t xml:space="preserve">17x mais comum como causa de anafilaxia (independe de reação prévia a penicilina)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3/4 dos pacientes foram admitidos em UTI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1/3 apresentou medo e ansiedade em relação a anestesias futuras</w:t>
      </w:r>
    </w:p>
    <w:p>
      <w:pPr>
        <w:pStyle w:val="Heading2"/>
        <w:spacing w:after="160" w:before="280"/>
      </w:pPr>
      <w:r>
        <w:t xml:space="preserve">8.7. Prevenção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detalhado de alergias no pré-anestésico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Pacientes com múltiplas exposições a látex: atenção especial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Relatos obscuros de alergia: encaminhar para investigação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Comunicação entre anestesiologista e alergologista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Avisar paciente e equipe de saúde para evitar recidiva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t xml:space="preserve">PCR por anafilaxia geralmente tem BOM prognóstico se tratada adequadamente e precocemente.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i/>
        <w:iCs/>
        <w:color w:val="666666"/>
        <w:sz w:val="16"/>
        <w:szCs w:val="16"/>
      </w:rPr>
      <w:t xml:space="preserve">SAVA – Compilado Aulas 5-8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2026-03-01T10:53:21.919Z</dcterms:created>
  <dcterms:modified xsi:type="dcterms:W3CDTF">2026-03-01T10:53:21.920Z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