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sz w:val="22"/>
        </w:rPr>
        <w:t>Table 1. QSP model architecture: modules, state variables, and inter-module coupling.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Module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State Variables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No. ODEs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Key Outputs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Pharmacokinetics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Depot, C_plasma, C_periph, C_brain, C_mito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C_mito → M1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Cardiolipin dynamics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CL_n, CL_ox, CL_ext, ALCAT1, TAZ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CL_ratio → M3; CL_ext → M2, M5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α-Synuclein aggregation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αSyn_mono, αSyn_olig, αSyn_ext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αSyn_olig → M1, M3; αSyn_ext → M6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ETC bioenergetics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CI_activity, SC_integrity, Δψ_m, ATP, mPTP_open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CI, SC → M4; ATP → M2; mPTP → M5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Oxidative stress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mROS, SOD2_act, GPx4_act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mROS → M1, M2, M3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Mitophagy / Cell death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PINK1_act, mito_damage, DA_neuron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DA_neuron → M7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Neuroinflammation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MG_active, TNF, IL1β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MG_active → M2; TNF, IL1β → M5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 endpoint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Motor_score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Motor_score (clinical endpoint)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8"/>
        </w:rPr>
        <w:t>Total: 28 ODEs, 28 state variables. All state variables normalised to [0, 1]. Time unit: hours. Solver: deSolve::ode() with lsoda, atol/rtol = 10⁻¹⁰. The vicious cycle (M1 → M3 → M4 → M2 → M1) is the core disease amplification mechanism.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Table 2. Key model parameters with values, biological roles, and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Module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Biological Role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CI_max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Disease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Max CI repair target (PINK1/Parkin impairment)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α_clear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Disease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aSyn clearance capacity (GBA/aging)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k_impair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M2→M6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MG-driven clearance impairment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1.5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SC absorption rate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 (IP bolus)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k_e,plasma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0.231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Plasma elimination (t½ = 3.0 h)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[1]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k_mito_in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Mitochondrial uptake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[2]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C_ref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Reference mitochondrial concentration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 (5 mg/kg SS)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k_ox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M1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ROS-driven CL oxidation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[3]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k_drug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0.100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M1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Drug-mediated CL_ox reduction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k_red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0.070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M1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Tafazzin-mediated CL remodelling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[3]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k_agg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0.009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Basal aSyn aggregation rate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[4]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k_clear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0.241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Oligomer clearance (autophagy/UPS)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[5]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k_ROS_agg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ROS-enhanced aggregation sensitivity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k_CI_repair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0.050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M3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Complex I repair rate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[6]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K_mPTP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M3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mPTP opening threshold (Hill K)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k_ATP_syn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1.20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M3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ATP synthesis rate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[7]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k_ROS_basal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0.122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M4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Basal mitochondrial ROS production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k_SOD2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M4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SOD2 dismutation rate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[8]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k_shunt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0.125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M4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CI/SC-dependent electron leak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k_death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7×10⁻⁴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M5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Mitochondrial death rate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k_death_inflam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2×10⁻⁴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M5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Neuroinflammation-mediated death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[9]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k_death_aSyn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1.5×10⁻⁴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M5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Direct aSyn proteotoxicity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[10]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K_death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M5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Death threshold (Hill K for mito_damage)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n_death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M5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Hill cooperativity for death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k_act_MG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20.0 h⁻¹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Microglial TLR2-mediated activation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[11]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K_motor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0.75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M7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 neuron threshold for motor deficit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[12]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8"/>
        </w:rPr>
        <w:t>Sources: [1] SBT-272 Phase 1; [2] Szeto 2014 (PMID: 25262585); [3] Schlame 2008 (PMID: 18456483); [4] Auluck 2010 (PMID: 20159449); [5] Webb 2003 (PMID: 14573789); [6] Morais 2009 (PMID: 19837033); [7] Brand 2005 (PMID: 16143825); [8] Fukai 2011 (PMID: 21878448); [9] Hirsch &amp; Hunot 2009 (PMID: 19399021); [10] Winner 2011 (PMID: 21386911); [11] Kim 2013 (PMID: 23395375); [12] Bernheimer 1973 (PMID: 4722511). 'Estimated' = fitted to quantitative calibration targets (see Table 3).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Table 3. Calibration and validation targets with model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Target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Endpoint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Literature Value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Acceptable Range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Model Output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CI activity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CI_activity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~49% of WT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0.40–0.58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0.459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Gao et al. 2017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CL drop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1 − CL_n/CL_n,healthy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15–35%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15–35%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15.7%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Literature composite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mROS elevation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mROS/mROS_basal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~177% of basal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150–250%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161.6%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Choi et al. 2022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DA neuron loss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1 − DA_neuron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~36% at 5 weeks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25–45%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36.0%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Bernheimer 1973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TLR2 KO aSyn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ΔaSyn_olig (k_impair=0)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23–45% reduction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15–50%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20.3%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Ivanova et al. 2024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Motor score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Motor_score at 5 weeks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&gt;10%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&gt;10%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15.6%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Bernheimer 1973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Drug rescue DA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DA_drug &gt; DA_disease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Directional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Positive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+12.9%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Mechanistic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Drug rescue CI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CI_drug &gt; CI_disease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Directional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Positive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Correct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Mechanistic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Drug rescue aSyn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aSyn_drug &lt; aSyn_disease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Directional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Negative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Correct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Mechanistic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Drug rescue mROS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mROS_drug &lt; mROS_disease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Directional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Negative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Correct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Mechanistic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Drug rescue Motor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Motor_drug &lt; Motor_disease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Directional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Negative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Correct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Mechanistic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Dose ordering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Monotonic dose-response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Directional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Monotonic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Correct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Mechanistic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Boundedness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All 28 states in [0,1]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Physical constraint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[0, 1]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All pass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Model property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Healthy baseline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DA_neuron &gt; 0.99 at 50d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Physiological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&gt;0.99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0.994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Model property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8"/>
        </w:rPr>
        <w:t>Calibration performed via 4-stage systematic sweep: (1) healthy baseline, (2) CI_max × α_clear disease modifier grid, (3) TLR2 KO k_impair sweep, (4) joint fine-grid refinement. 24/24 integrated validation tests passing.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Table 4. Allometric PK scaling from mouse to human.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Mouse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Human</w:t>
            </w:r>
          </w:p>
        </w:tc>
        <w:tc>
          <w:tcPr>
            <w:tcW w:type="dxa" w:w="215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Scaling Method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t½ Mouse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t½ Human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k_a (absorption)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1.50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0.40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Estimated (SC vs IP)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 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1.7 h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k_e,plasma (elimination)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0.231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0.032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BW⁻⁰·²⁵ allometry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3.0 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21.7 h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k_12 (distribution)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0.30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0.041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BW⁻⁰·²⁵ allometry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k_21 (redistribution)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0.20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0.027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BW⁻⁰·²⁵ allometry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k_brain_in (BBB entry)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0.040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0.015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Monkey CSF:plasma ratio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17.3 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46.2 h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k_brain_out (BBB exit)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0.016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0.010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BW⁻⁰·²⁵ allometry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k_mito_in (mito uptake)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0.50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0.50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Unscaled (physiology-independent)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k_mito_out (mito efflux)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0.020 h⁻¹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0.020 h⁻¹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Unscaled (physiology-independent)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C_ref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2.15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Computed (120-day SS at ref dose)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Reference dose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mg/kg IP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30 mg SC daily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FDA K_m conversion (mouse → human)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8"/>
        </w:rPr>
        <w:t>Allometric scaling: BW⁻⁰·²⁵ for elimination/distribution rate constants (mouse 25 g → human 70 kg; scale factor = 7.36). FDA K_m conversion: mouse 5 mg/kg × 3 = 15 mg/m²; human = 15 × 37/70 ≈ 28.4 mg, rounded to 30 mg SC daily. Clinical dose levels: 10, 30, 60 mg SC daily (60 mg = Phase 1 MAD ceiling).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Table 5. Virtual clinical trial simulation results at 18 months (N = 244/arm).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Dose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Endpoint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Δ</w:t>
              <w:br/>
              <w:t>vs placebo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d_unpaired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Cliff’s δ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MCID</w:t>
              <w:br/>
              <w:t>Resp. %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N/arm</w:t>
              <w:br/>
              <w:t>(80% power)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10 mg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+0.027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+0.074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16.4%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889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+0.044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+0.126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25.8%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60 mg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DA neuron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+0.054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+0.164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31.6%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10 mg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 score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−0.013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0.135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+0.107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9.0%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862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30 mg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 score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−0.022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+0.180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17.2%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60 mg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Motor score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−0.028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0.295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+0.226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22.1%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8"/>
        </w:rPr>
        <w:t>Virtual population: N = 250/arm, 15 parameters varied (log-normal), 97.6% completion rate. MCID thresholds: DA neuron &gt;5% preservation, Motor score &gt;3% improvement. d_unpaired = unpaired Cohen’s d (comparable to clinical trial effect sizes). Dose-response is monotonic with diminishing returns above 30 mg. 60 mg matches Phase 1 MAD ceiling dose. For context: ADAGIO (rasagiline) d ≈ 0.20; SPARK (isradipine) d ≈ 0.15.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sz w:val="22"/>
        </w:rPr>
        <w:t>Table 6. Sensitivity analysis: top 10 parameters ranked by three methods.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Rank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OAT Tornado</w:t>
              <w:br/>
              <w:t>(DA neuron, ±50%)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Morris μ*</w:t>
              <w:br/>
              <w:t>(DA neuron)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Sobol S_T</w:t>
              <w:br/>
              <w:t>(DA neuron)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Sobol S_T</w:t>
              <w:br/>
              <w:t>(Motor score)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k_agg (49%)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CI_max (0.31)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k_ROS_basal (0.50)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k_ROS_basal (0.40)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k_ROS_basal (49%)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k_ROS_basal (0.27)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K_mPTP (0.33)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k_SOD2 (0.32)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CI_max (49%)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K_mPTP (0.24)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CI_max (0.29)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K_mPTP (0.30)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k_SOD2 (48%)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k_death (0.24)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k_SOD2 (0.28)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CI_max (0.27)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K_mPTP (47%)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k_SOD2 (0.23)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k_agg (0.14)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k_agg (0.19)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k_shunt (42%)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k_shunt (0.22)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k_shunt (0.12)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k_shunt (0.16)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k_clear (36%)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k_agg (0.20)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α_clear (0.10)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α_clear (0.14)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α_clear (34%)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α_clear (0.19)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k_CL_loss (0.06)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k_death (0.11)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k_mPTP_open (32%)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k_mPTP_open (0.18)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k_CI_repair (0.05)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K_motor (0.09)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k_CI_repair (28%)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k_CI_repair (0.17)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k_red (0.04)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k_clear (0.07)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8"/>
        </w:rPr>
        <w:t>OAT: one-at-a-time ±50% perturbation (68 runs). Morris: 20 trajectories (700 runs); μ* = mean absolute elementary effect. Sobol: variance-based decomposition (N = 256, 3072 runs); S_T = total-order index. Key insight: ROS module parameters (k_ROS_basal, k_SOD2, k_shunt) dominate both endpoints. Most top parameters have σ &gt; μ* (Morris), indicating strong nonlinearity/interactions consistent with vicious cycle amplification. Disease modifiers (CI_max, α_clear) act largely through interactions (S_T ≫ S_1).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