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Times New Roman" w:hAnsi="Times New Roman"/>
          <w:b/>
          <w:sz w:val="22"/>
        </w:rPr>
        <w:t>Table S2. Virtual population parameter specifications (N = 250/arm).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1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24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Nominal Value</w:t>
            </w:r>
          </w:p>
        </w:tc>
        <w:tc>
          <w:tcPr>
            <w:tcW w:type="dxa" w:w="85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</w:t>
            </w:r>
          </w:p>
        </w:tc>
        <w:tc>
          <w:tcPr>
            <w:tcW w:type="dxa" w:w="158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Distribution</w:t>
            </w:r>
          </w:p>
        </w:tc>
        <w:tc>
          <w:tcPr>
            <w:tcW w:type="dxa" w:w="141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Bounds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k_ROS_basal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0.122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0.25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PD mechanism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K_mPTP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0.25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PD mechanism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k_SOD2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1.0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0.25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PD mechanism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k_agg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0.009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PD mechanism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k_shunt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0.125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PD mechanism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k_clear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0.241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0.25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PD mechanism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k_death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4.2×10⁻⁵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PD mechanism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K_death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0.25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PD mechanism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k_death_inflam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1.2×10⁻⁵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0.50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PD mechanism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k_death_aSyn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9.0×10⁻⁶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0.50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PD mechanism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k_a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PK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k_e,plasma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0.032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PK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k_brain_in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0.015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0.40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Log-normal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PK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CI_max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0.90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SD=0.03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Normal (truncated)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Disease modifier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[0.80, 0.96]</w:t>
            </w:r>
          </w:p>
        </w:tc>
      </w:tr>
      <w:tr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α_clear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SD=0.05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Normal (truncated)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Disease modifier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[0.20, 0.55]</w:t>
            </w:r>
          </w:p>
        </w:tc>
      </w:tr>
    </w:tbl>
    <w:p>
      <w:pPr>
        <w:spacing w:before="40" w:after="240"/>
      </w:pPr>
      <w:r>
        <w:rPr>
          <w:rFonts w:ascii="Times New Roman" w:hAnsi="Times New Roman"/>
          <w:i/>
          <w:sz w:val="18"/>
        </w:rPr>
        <w:t>Death rate nominals are human-scaled (mouse value × death_scale_human = 0.06). Log-normal sampling ensures positivity: σ = √(ln(1+CV²)), μ = ln(nominal) − σ²/2. Disease modifiers use truncated normal to prevent physiologically implausible values. 4 arms: placebo, 10 mg, 30 mg, 60 mg SC daily; 547 days; 244/250 patients completed (97.6%).</w:t>
      </w:r>
    </w:p>
    <w:p>
      <w:r>
        <w:br w:type="page"/>
      </w:r>
    </w:p>
    <w:p>
      <w:pPr>
        <w:spacing w:before="240" w:after="80"/>
      </w:pPr>
      <w:r>
        <w:rPr>
          <w:rFonts w:ascii="Times New Roman" w:hAnsi="Times New Roman"/>
          <w:b/>
          <w:sz w:val="22"/>
        </w:rPr>
        <w:t>Table S3. Uncertainty quantification: bootstrap confidence intervals and parameter envelope.</w:t>
      </w:r>
    </w:p>
    <w:p>
      <w:r>
        <w:rPr>
          <w:b/>
          <w:sz w:val="20"/>
        </w:rPr>
        <w:t>A. Bootstrap 95% confidence intervals (B = 10,000, percentile method)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50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Dose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124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Point Estimate</w:t>
            </w:r>
          </w:p>
        </w:tc>
        <w:tc>
          <w:tcPr>
            <w:tcW w:type="dxa" w:w="124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95% CI Lower</w:t>
            </w:r>
          </w:p>
        </w:tc>
        <w:tc>
          <w:tcPr>
            <w:tcW w:type="dxa" w:w="124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95% CI Upper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10 mg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DA neuron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d_unpaired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0.133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0.170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10 mg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DA neuron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Cliff’s δ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0.074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0.054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0.097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10 mg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DA neuron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MCID Resp. 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16.4%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12.3%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21.3%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30 mg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DA neuron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d_unpaired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0.221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0.177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0.273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30 mg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DA neuron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Cliff’s δ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0.126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0.103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0.160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30 mg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DA neuron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MCID Resp. 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25.8%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20.5%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31.6%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60 mg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DA neuron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d_unpaired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0.273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0.224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0.330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60 mg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DA neuron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Cliff’s δ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0.164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0.198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60 mg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DA neuron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MCID Resp. 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31.6%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26.2%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37.3%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30 mg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Motor score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d_unpaired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0.221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0.174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0.273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30 mg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Motor score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Cliff’s δ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0.180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0.147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0.216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30 mg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Motor score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MCID Resp. 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17.2%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13.1%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21.7%</w:t>
            </w:r>
          </w:p>
        </w:tc>
      </w:tr>
    </w:tbl>
    <w:p/>
    <w:p>
      <w:r>
        <w:rPr>
          <w:b/>
          <w:sz w:val="20"/>
        </w:rPr>
        <w:t>B. Joint parameter uncertainty envelope (125-combination sweep)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141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Sweep Range</w:t>
            </w:r>
          </w:p>
        </w:tc>
        <w:tc>
          <w:tcPr>
            <w:tcW w:type="dxa" w:w="141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Nominal</w:t>
            </w:r>
          </w:p>
        </w:tc>
        <w:tc>
          <w:tcPr>
            <w:tcW w:type="dxa" w:w="283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Impact on d_unpaired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CI_max_human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0.86–0.94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0.90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Moderate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α_clear_human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0.28–0.42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0.35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Largest (±2.6× range on DA_saved)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death_scale_human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0.04–0.08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±31% relative uncertainty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30 mg DA_saved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 envelope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0.044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[0.015, 0.069]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30 mg d_unpaired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Approx. range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0.221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[0.062, 0.403]</w:t>
            </w:r>
          </w:p>
        </w:tc>
      </w:tr>
    </w:tbl>
    <w:p>
      <w:pPr>
        <w:spacing w:before="40" w:after="240"/>
      </w:pPr>
      <w:r>
        <w:rPr>
          <w:rFonts w:ascii="Times New Roman" w:hAnsi="Times New Roman"/>
          <w:i/>
          <w:sz w:val="18"/>
        </w:rPr>
        <w:t>Bootstrap: nonparametric resampling of matched patient pairs across all 4 arms. Parameter envelope: 5 × 5 × 5 grid sweep of three translational parameters. Nominal d_unpaired (0.221) sits within the credible range. α_clear dominates uncertainty because it directly gates vicious cycle entry via aSyn clearance.</w:t>
      </w:r>
    </w:p>
    <w:p>
      <w:r>
        <w:br w:type="page"/>
      </w:r>
    </w:p>
    <w:p>
      <w:pPr>
        <w:spacing w:before="240" w:after="80"/>
      </w:pPr>
      <w:r>
        <w:rPr>
          <w:rFonts w:ascii="Times New Roman" w:hAnsi="Times New Roman"/>
          <w:b/>
          <w:sz w:val="22"/>
        </w:rPr>
        <w:t>Table S4. Phased simulation: disease milestones and treatment delay analysis.</w:t>
      </w:r>
    </w:p>
    <w:p>
      <w:r>
        <w:rPr>
          <w:b/>
          <w:sz w:val="20"/>
        </w:rPr>
        <w:t>A. Disease progression milestones (human timescale)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Milestone</w:t>
            </w:r>
          </w:p>
        </w:tc>
        <w:tc>
          <w:tcPr>
            <w:tcW w:type="dxa" w:w="170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 Neuron Threshold</w:t>
            </w:r>
          </w:p>
        </w:tc>
        <w:tc>
          <w:tcPr>
            <w:tcW w:type="dxa" w:w="1134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Time (Years)</w:t>
            </w:r>
          </w:p>
        </w:tc>
        <w:tc>
          <w:tcPr>
            <w:tcW w:type="dxa" w:w="2835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Literature Reference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Prodromal onset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&lt;70% (30% loss)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5.6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Postuma 2012: 5–10 yr prodromal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Diagnosis (after 12-mo delay)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&lt;70% + 12 mo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6.6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Breen 2013: median 12 mo to Dx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Clinical PD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&lt;50% (50% loss)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10.8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Fearnley &amp; Lees 1991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Bernheimer threshold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&lt;40% (60% loss)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14.3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Bernheimer 1973</w:t>
            </w:r>
          </w:p>
        </w:tc>
      </w:tr>
      <w:tr>
        <w:tc>
          <w:tcPr>
            <w:tcW w:type="dxa" w:w="198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Healthy baseline (20 yr)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90.4%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20.0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~5%/decade age-related</w:t>
            </w:r>
          </w:p>
        </w:tc>
      </w:tr>
    </w:tbl>
    <w:p/>
    <w:p>
      <w:r>
        <w:rPr>
          <w:b/>
          <w:sz w:val="20"/>
        </w:rPr>
        <w:t>B. Treatment efficacy by dose and diagnostic delay (18-month treatment, 30 mg)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Delay from</w:t>
              <w:br/>
              <w:t>Symptoms</w:t>
            </w:r>
          </w:p>
        </w:tc>
        <w:tc>
          <w:tcPr>
            <w:tcW w:type="dxa" w:w="124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 at</w:t>
              <w:br/>
              <w:t>Treatment Start</w:t>
            </w:r>
          </w:p>
        </w:tc>
        <w:tc>
          <w:tcPr>
            <w:tcW w:type="dxa" w:w="141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 After</w:t>
              <w:br/>
              <w:t>18-mo Treatment</w:t>
            </w:r>
          </w:p>
        </w:tc>
        <w:tc>
          <w:tcPr>
            <w:tcW w:type="dxa" w:w="141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 Without</w:t>
              <w:br/>
              <w:t>Treatment</w:t>
            </w:r>
          </w:p>
        </w:tc>
        <w:tc>
          <w:tcPr>
            <w:tcW w:type="dxa" w:w="124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ΔDA</w:t>
              <w:br/>
              <w:t>(drug benefit)</w:t>
            </w:r>
          </w:p>
        </w:tc>
        <w:tc>
          <w:tcPr>
            <w:tcW w:type="dxa" w:w="124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Efficacy</w:t>
              <w:br/>
              <w:t>Loss vs 0-mo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0 months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0.700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0.744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0.656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+0.088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Reference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6 months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0.678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0.720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0.634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+0.086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−2%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12 months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0.656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0.700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0.612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+0.088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0%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24 months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0.612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0.649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0.572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+0.077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−12%</w:t>
            </w:r>
          </w:p>
        </w:tc>
      </w:tr>
    </w:tbl>
    <w:p/>
    <w:p>
      <w:r>
        <w:rPr>
          <w:b/>
          <w:sz w:val="20"/>
        </w:rPr>
        <w:t>C. Drug benefit (ΔDA) across doses and delays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Delay</w:t>
            </w:r>
          </w:p>
        </w:tc>
        <w:tc>
          <w:tcPr>
            <w:tcW w:type="dxa" w:w="170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10 mg</w:t>
            </w:r>
          </w:p>
        </w:tc>
        <w:tc>
          <w:tcPr>
            <w:tcW w:type="dxa" w:w="170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30 mg</w:t>
            </w:r>
          </w:p>
        </w:tc>
        <w:tc>
          <w:tcPr>
            <w:tcW w:type="dxa" w:w="1701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60 mg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0 months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+0.088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+0.107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6 months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+0.051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+0.086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+0.105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12 months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+0.050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+0.088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+0.106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24 months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+0.045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+0.077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+0.094</w:t>
            </w:r>
          </w:p>
        </w:tc>
      </w:tr>
    </w:tbl>
    <w:p>
      <w:pPr>
        <w:spacing w:before="40" w:after="240"/>
      </w:pPr>
      <w:r>
        <w:rPr>
          <w:rFonts w:ascii="Times New Roman" w:hAnsi="Times New Roman"/>
          <w:i/>
          <w:sz w:val="18"/>
        </w:rPr>
        <w:t>Phased simulation: prodromal progression → diagnostic delay → treatment initiation. State vector extracted at each phase transition via init_override parameter. Efficacy loss with 24-month delay: ~12% relative to immediate treatment. Drug benefit is robust across delays, consistent with partial vicious cycle interruption. Values approximate; exact results depend on VPop realisation.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76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