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“Фомин Никита Алексеевич”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50011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