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565"/>
        <w:gridCol w:w="330"/>
        <w:tblGridChange w:id="0">
          <w:tblGrid>
            <w:gridCol w:w="1320"/>
            <w:gridCol w:w="8565"/>
            <w:gridCol w:w="33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3873" cy="5410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73" cy="541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Técnico Universitario en Programación - UTN FRGP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" w:cs="Fira Sans" w:eastAsia="Fira Sans" w:hAnsi="Fira Sans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4"/>
                <w:szCs w:val="24"/>
                <w:rtl w:val="0"/>
              </w:rPr>
              <w:t xml:space="preserve">Trabajo Práctico de Objetos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36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rPr>
          <w:rFonts w:ascii="Roboto" w:cs="Roboto" w:eastAsia="Roboto" w:hAnsi="Roboto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Roboto" w:cs="Roboto" w:eastAsia="Roboto" w:hAnsi="Robo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3 - Transacciones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Rehacer los procedimientos almacenados B-D para que se ejecuten dentro de una transacción.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