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楷体" w:hAnsi="楷体" w:eastAsia="楷体" w:cs="楷体"/>
          <w:color w:val="3E3E3E"/>
          <w:spacing w:val="12"/>
          <w:sz w:val="24"/>
          <w:szCs w:val="24"/>
        </w:rPr>
      </w:pPr>
      <w:r>
        <w:rPr>
          <w:rStyle w:val="8"/>
          <w:rFonts w:hint="eastAsia" w:ascii="楷体" w:hAnsi="楷体" w:eastAsia="楷体" w:cs="楷体"/>
          <w:color w:val="D92142"/>
          <w:kern w:val="0"/>
          <w:sz w:val="24"/>
          <w:szCs w:val="24"/>
          <w:lang w:val="en-US" w:eastAsia="zh-CN" w:bidi="ar"/>
        </w:rPr>
        <w:t>绕口</w:t>
      </w:r>
      <w:bookmarkStart w:id="0" w:name="_GoBack"/>
      <w:bookmarkEnd w:id="0"/>
      <w:r>
        <w:rPr>
          <w:rStyle w:val="8"/>
          <w:rFonts w:hint="eastAsia" w:ascii="楷体" w:hAnsi="楷体" w:eastAsia="楷体" w:cs="楷体"/>
          <w:color w:val="D92142"/>
          <w:kern w:val="0"/>
          <w:sz w:val="24"/>
          <w:szCs w:val="24"/>
          <w:lang w:val="en-US" w:eastAsia="zh-CN" w:bidi="ar"/>
        </w:rPr>
        <w:t>令练习</w:t>
      </w:r>
    </w:p>
    <w:p>
      <w:pPr>
        <w:keepNext w:val="0"/>
        <w:keepLines w:val="0"/>
        <w:widowControl/>
        <w:numPr>
          <w:ilvl w:val="0"/>
          <w:numId w:val="1"/>
        </w:numPr>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一葫芦酒，九两六。一葫芦油，六两九。六两九的油，要换九两六的酒，九两六的酒，不换六两九的油。</w:t>
      </w:r>
    </w:p>
    <w:p>
      <w:pPr>
        <w:keepNext w:val="0"/>
        <w:keepLines w:val="0"/>
        <w:widowControl/>
        <w:numPr>
          <w:numId w:val="0"/>
        </w:numPr>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 xml:space="preserve">1、yī hú lú jiǔ ，jiǔ liǎng liù 。yī hú lú yóu ，liù liǎng jiǔ 。liù liǎng jiǔ de yóu ，yào huàn jiǔ liǎng liù de jiǔ ，jiǔ liǎng liù de jiǔ ，bú huàn liù liǎng jiǔ de yóu </w:t>
      </w:r>
    </w:p>
    <w:p>
      <w:pPr>
        <w:keepNext w:val="0"/>
        <w:keepLines w:val="0"/>
        <w:widowControl/>
        <w:numPr>
          <w:numId w:val="0"/>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2、半边莲，莲半边，半边莲长在山涧边。半边天路过山涧边，发现这片半边莲。半边天拿来一把镰，割了半筐半边莲。半筐半边莲，送给边防连。</w:t>
      </w:r>
    </w:p>
    <w:p>
      <w:pPr>
        <w:keepNext w:val="0"/>
        <w:keepLines w:val="0"/>
        <w:widowControl/>
        <w:numPr>
          <w:numId w:val="0"/>
        </w:numPr>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2、bàn biān lián ，lián bàn biān ，bàn biān lián zhǎng zài shān jiàn biān 。bàn biān tiān lù guò shān jiàn biān ，fā xiàn zhè piàn bàn biān lián 。bàn biān tiān ná lái yī bǎ lián ，gē le bàn kuāng bàn biān lián 。bàn kuāng bàn biān lián ，sòng gěi biān fáng lián 。</w:t>
      </w:r>
    </w:p>
    <w:p>
      <w:pPr>
        <w:keepNext w:val="0"/>
        <w:keepLines w:val="0"/>
        <w:widowControl/>
        <w:numPr>
          <w:numId w:val="0"/>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3、石、斯、施、史四老师，天天和我在一起。石老师教我大公无私，斯老师给我精神食粮，施老师叫我遇事三思，史老师送我知识钥匙。我感谢石、斯、施史四老师。</w:t>
      </w:r>
    </w:p>
    <w:p>
      <w:pPr>
        <w:keepNext w:val="0"/>
        <w:keepLines w:val="0"/>
        <w:widowControl/>
        <w:numPr>
          <w:numId w:val="0"/>
        </w:numPr>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3、shí 、sī 、shī 、shǐ sì lǎo shī ，tiān tiān hé wǒ zài yī qǐ 。shí lǎo shī jiāo wǒ dà gōng wú sī ，sī lǎo shī gěi wǒ jīng shén shí liáng ，shī lǎo shī jiào wǒ yù shì sān sī ，shǐ lǎo shī sòng wǒ zhī shí yào shí 。wǒ gǎn xiè shí 、sī 、shī shǐ sì lǎo shī 。</w:t>
      </w:r>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ilvl w:val="0"/>
          <w:numId w:val="0"/>
        </w:numPr>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今年以来，受多重因素影响，我国资本市场波动加大。如何看待市场走势？如何支持上市公司发展，促进资本市场稳健运行？来看本台记者对证监会副主席王建军的采访。王建军说，近期A股市场出现较大波动，各类风险因素对A股市场的影响客观存在，但影响可控，市场稳定运行有坚实基础。王建军表示，下一步证监会将着力稳预期、稳市场主体、稳资金面、稳市场行为，持续巩固市场平稳运行的基础。鼓励上市公司回购、大股东增持，保持期货市场平稳运行，完善预案守住不发生系统性风险的底线。今年以来，全球跨境资金流动波动性上升。王建军说，从今年沪深股通的交易情况看，1、2月外资净流入，3月净流出，4月又转为净流入。外资有进有出是正常现象，近期外资流动和交易情况并没有发生根本性变化，配置型、长线资金保持净流入，表明外资看好A股长期投资价值。证监会将推出更多扩大开放的举措，优化拓展境内外资本市场互联互通；支持各类符合条件的企业到境外上市，欢迎符合条件的境外企业来A股上市。受疫情等因素影响，一些上市公司经营困难增加。下一步，证监会将贯彻资本市场支持振作工业经济运行的18条措施，落实资本市场支持中小微企业健康发展的15条措施，支持上市公司通过再融资、并购重组等方式克服疫情影响。</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6271C"/>
    <w:multiLevelType w:val="singleLevel"/>
    <w:tmpl w:val="BB96271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74E6E"/>
    <w:rsid w:val="003B0253"/>
    <w:rsid w:val="31981743"/>
    <w:rsid w:val="422507D5"/>
    <w:rsid w:val="4609638B"/>
    <w:rsid w:val="75952EE8"/>
    <w:rsid w:val="7B7D34D3"/>
    <w:rsid w:val="7CBC51FE"/>
    <w:rsid w:val="7D67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2022-07-17T15:49:00Z</dcterms:created>
  <dc:creator>陈迈骐</dc:creator>
  <cp:lastModifiedBy>陈迈骐</cp:lastModifiedBy>
  <dcterms:modified xsi:type="dcterms:W3CDTF">2022-08-22T16:01:30Z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43D409F4D420489D82C164E8CA9BAA9F</vt:lpwstr>
  </property>
</Properties>
</file>