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楷体" w:hAnsi="楷体" w:eastAsia="楷体" w:cs="楷体"/>
          <w:color w:val="3E3E3E"/>
          <w:spacing w:val="12"/>
          <w:sz w:val="24"/>
          <w:szCs w:val="24"/>
        </w:rPr>
      </w:pPr>
      <w:r>
        <w:rPr>
          <w:rStyle w:val="8"/>
          <w:rFonts w:hint="eastAsia" w:ascii="楷体" w:hAnsi="楷体" w:eastAsia="楷体" w:cs="楷体"/>
          <w:color w:val="D92142"/>
          <w:kern w:val="0"/>
          <w:sz w:val="24"/>
          <w:szCs w:val="24"/>
          <w:lang w:val="en-US" w:eastAsia="zh-CN" w:bidi="ar"/>
        </w:rPr>
        <w:t>绕口令练习</w:t>
      </w:r>
    </w:p>
    <w:p>
      <w:pPr>
        <w:keepNext w:val="0"/>
        <w:keepLines w:val="0"/>
        <w:widowControl/>
        <w:numPr>
          <w:ilvl w:val="0"/>
          <w:numId w:val="1"/>
        </w:numPr>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清水煮青鱼，清水注进青鱼嘴。 </w:t>
      </w:r>
    </w:p>
    <w:p>
      <w:pPr>
        <w:keepNext w:val="0"/>
        <w:keepLines w:val="0"/>
        <w:widowControl/>
        <w:numPr>
          <w:numId w:val="0"/>
        </w:numPr>
        <w:suppressLineNumbers w:val="0"/>
        <w:jc w:val="left"/>
        <w:rPr>
          <w:rFonts w:hint="eastAsia" w:ascii="楷体" w:hAnsi="楷体" w:eastAsia="楷体" w:cs="楷体"/>
          <w:sz w:val="24"/>
          <w:szCs w:val="24"/>
        </w:rPr>
      </w:pPr>
      <w:r>
        <w:rPr>
          <w:rFonts w:hint="eastAsia" w:ascii="楷体" w:hAnsi="楷体" w:eastAsia="楷体" w:cs="楷体"/>
          <w:color w:val="7B7F83"/>
          <w:kern w:val="0"/>
          <w:sz w:val="24"/>
          <w:szCs w:val="24"/>
          <w:lang w:val="en-US" w:eastAsia="zh-CN" w:bidi="ar"/>
        </w:rPr>
        <w:t>1、qīng shuǐ zhǔ qīng yú ，qīng shuǐ zhù jìn qīng yú zuǐ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2、保镖保表哥，表妹抱表哥，保镖不让表妹抱表哥，表妹不让保镖保表哥，到底保镖保表哥，还是表妹抱表哥？”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jc w:val="left"/>
        <w:rPr>
          <w:rFonts w:hint="eastAsia" w:ascii="楷体" w:hAnsi="楷体" w:eastAsia="楷体" w:cs="楷体"/>
          <w:color w:val="7B7F83"/>
          <w:kern w:val="0"/>
          <w:sz w:val="24"/>
          <w:szCs w:val="24"/>
          <w:lang w:val="en-US" w:eastAsia="zh-CN" w:bidi="ar"/>
        </w:rPr>
      </w:pPr>
      <w:r>
        <w:rPr>
          <w:rFonts w:hint="eastAsia" w:ascii="楷体" w:hAnsi="楷体" w:eastAsia="楷体" w:cs="楷体"/>
          <w:kern w:val="0"/>
          <w:sz w:val="24"/>
          <w:szCs w:val="24"/>
          <w:lang w:val="en-US" w:eastAsia="zh-CN" w:bidi="ar"/>
        </w:rPr>
        <w:t> </w:t>
      </w:r>
      <w:r>
        <w:rPr>
          <w:rFonts w:hint="eastAsia" w:ascii="楷体" w:hAnsi="楷体" w:eastAsia="楷体" w:cs="楷体"/>
          <w:color w:val="7B7F83"/>
          <w:kern w:val="0"/>
          <w:sz w:val="24"/>
          <w:szCs w:val="24"/>
          <w:lang w:val="en-US" w:eastAsia="zh-CN" w:bidi="ar"/>
        </w:rPr>
        <w:t>2、bǎo biāo bǎo biǎo gē ，biǎo mèi bào biǎo gē ，bǎo biāo bú ràng biǎo mèi bào biǎo gē ，biǎo mèi bú ràng bǎo biāo bǎo biǎo gē ，dào dǐ bǎo biāo bǎo biǎo gē ，hái shì biǎo mèi bào biǎo gē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3、公园有四排石狮子，每排是十四只大石狮子，每只大石狮子背上是一只小石狮子，每只大石狮子脚边是四只小石狮子，史老师领四十四个学生去数石狮子，你说共数出多少只大石狮子和多少只小石狮子？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jc w:val="left"/>
        <w:rPr>
          <w:rFonts w:hint="eastAsia" w:ascii="楷体" w:hAnsi="楷体" w:eastAsia="楷体" w:cs="楷体"/>
          <w:color w:val="7B7F83"/>
          <w:kern w:val="0"/>
          <w:sz w:val="24"/>
          <w:szCs w:val="24"/>
          <w:lang w:val="en-US" w:eastAsia="zh-CN" w:bidi="ar"/>
        </w:rPr>
      </w:pPr>
      <w:bookmarkStart w:id="0" w:name="_GoBack"/>
      <w:bookmarkEnd w:id="0"/>
      <w:r>
        <w:rPr>
          <w:rFonts w:hint="eastAsia" w:ascii="楷体" w:hAnsi="楷体" w:eastAsia="楷体" w:cs="楷体"/>
          <w:color w:val="7B7F83"/>
          <w:kern w:val="0"/>
          <w:sz w:val="24"/>
          <w:szCs w:val="24"/>
          <w:lang w:val="en-US" w:eastAsia="zh-CN" w:bidi="ar"/>
        </w:rPr>
        <w:t>3、gōng yuán yǒu sì pái shí shī zǐ ，měi pái shì shí sì zhī dà shí shī zǐ ，měi zhī dà shí shī zǐ bèi shàng shì yī zhī xiǎo shí shī zǐ ，měi zhī dà shí shī zǐ jiǎo biān shì sì zhī xiǎo shí shī zǐ ，shǐ lǎo shī lǐng sì shí sì gè xué shēng qù shù shí shī zǐ ，nǐ shuō gòng shù chū duō shǎo zhī dà shí shī zǐ hé duō shǎo zhī xiǎo shí shī zǐ ？</w:t>
      </w:r>
    </w:p>
    <w:p>
      <w:pPr>
        <w:keepNext w:val="0"/>
        <w:keepLines w:val="0"/>
        <w:widowControl/>
        <w:numPr>
          <w:ilvl w:val="0"/>
          <w:numId w:val="0"/>
        </w:numPr>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numPr>
          <w:ilvl w:val="0"/>
          <w:numId w:val="0"/>
        </w:numPr>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今年以来，我国不断加强交通、能源、水利等网络型现代化基础设施体系建设，把联网、补网、强链作为建设的重点，着力提升网络效益，进一步释放投资潜力，推动经济高质量发展。“五一”期间，国家石油天然气重点工程——青宁管道与西气东输一线互联互通进入最后冲刺阶段。项目建成后，将实现我国天然气南北要道和东西主干管网全面联通。“蓝板”成海、叶片起吊，一批大型风电、光伏基地在西部沙漠、戈壁、荒漠地区加快规划建设。高峡筑坝，横卧山间，大藤峡水利枢纽、滇中引水等水利工程有序推进，国家骨干供水基础设施网络正在不断完善，我国在建重大水利工程投资规模超过1万亿元。国家统计局数据显示，一季度，我国基础设施投资同比增长8.5%，增速比1月份至2月份加快0.4个百分点。今年以来，我国布局建设新一代超算、云计算、人工智能平台、宽带基础网络设施，10个国家数据中心集群中，新开工项目25个，投资超过1900亿元。其中，西部地区投资比去年同期增长6倍，呈现出由东向西转移的良好趋势。预计“十四五”期间，大数据中心投资还将以每年超过20%的速度增长，总投资将超过3万亿元。</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AA85C"/>
    <w:multiLevelType w:val="singleLevel"/>
    <w:tmpl w:val="96FAA85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E538CF"/>
    <w:rsid w:val="46A07048"/>
    <w:rsid w:val="6BE538CF"/>
    <w:rsid w:val="788C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2022-07-17T15:50:00Z</dcterms:created>
  <dc:creator>陈迈骐</dc:creator>
  <cp:lastModifiedBy>陈迈骐</cp:lastModifiedBy>
  <dcterms:modified xsi:type="dcterms:W3CDTF">2022-08-22T16:03:16Z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1E0DDC468F614F55930C6874DF3475A1</vt:lpwstr>
  </property>
</Properties>
</file>