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kern w:val="0"/>
          <w:sz w:val="24"/>
          <w:szCs w:val="24"/>
          <w:lang w:val="en-US" w:eastAsia="zh-CN" w:bidi="ar"/>
        </w:rPr>
        <w:t>张伯伯，李伯伯，饽饽铺里买饽饽，张伯伯买了个饽饽大，李伯伯买了个大饽饽。拿回家里喂婆婆，婆婆又去比饽饽也不知是张伯伯买的饽饽大还是李伯伯买的大饽饽。</w:t>
      </w:r>
    </w:p>
    <w:p>
      <w:pPr>
        <w:keepNext w:val="0"/>
        <w:keepLines w:val="0"/>
        <w:widowControl/>
        <w:numPr>
          <w:numId w:val="0"/>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kern w:val="0"/>
          <w:sz w:val="24"/>
          <w:szCs w:val="24"/>
          <w:lang w:val="en-US" w:eastAsia="zh-CN" w:bidi="ar"/>
        </w:rPr>
        <w:t> </w:t>
      </w:r>
      <w:r>
        <w:rPr>
          <w:rFonts w:hint="eastAsia" w:ascii="楷体" w:hAnsi="楷体" w:eastAsia="楷体" w:cs="楷体"/>
          <w:color w:val="888888"/>
          <w:kern w:val="0"/>
          <w:sz w:val="24"/>
          <w:szCs w:val="24"/>
          <w:lang w:val="en-US" w:eastAsia="zh-CN" w:bidi="ar"/>
        </w:rPr>
        <w:t>1、zhāng bó bó ，lǐ bó bó ，bō bō pù lǐ mǎi bō bō ，zhāng bó bó mǎi le gè bō bō dà ，lǐ bó bó mǎi le gè dà bō bō 。ná huí jiā lǐ wèi pó pó ，pó pó yòu qù bǐ bō bō yě bú zhī shì zhāng bó bó mǎi de bō bō dà hái shì lǐ bó bó mǎi de dà bō bō 。 </w:t>
      </w:r>
    </w:p>
    <w:p>
      <w:pPr>
        <w:keepNext w:val="0"/>
        <w:keepLines w:val="0"/>
        <w:widowControl/>
        <w:numPr>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2、这是蚕，那是蝉，蚕常在叶里藏，蝉常在林里唱。  </w:t>
      </w:r>
      <w:r>
        <w:rPr>
          <w:rFonts w:hint="eastAsia" w:ascii="楷体" w:hAnsi="楷体" w:eastAsia="楷体" w:cs="楷体"/>
          <w:color w:val="888888"/>
          <w:kern w:val="0"/>
          <w:sz w:val="24"/>
          <w:szCs w:val="24"/>
          <w:lang w:val="en-US" w:eastAsia="zh-CN" w:bidi="ar"/>
        </w:rPr>
        <w:t>2、zhè shì cán ，nà shì chán ，cán cháng zài yè lǐ cáng ，chán cháng zài lín lǐ chàng 。 </w:t>
      </w:r>
      <w:r>
        <w:rPr>
          <w:rFonts w:hint="eastAsia" w:ascii="楷体" w:hAnsi="楷体" w:eastAsia="楷体" w:cs="楷体"/>
          <w:kern w:val="0"/>
          <w:sz w:val="24"/>
          <w:szCs w:val="24"/>
          <w:lang w:val="en-US" w:eastAsia="zh-CN" w:bidi="ar"/>
        </w:rPr>
        <w:t>3、字纸里裹着细银丝，细银丝上趴着四千四百四十四个似死似不死的小死虱子皮。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color w:val="3E3E3E"/>
          <w:spacing w:val="12"/>
          <w:sz w:val="24"/>
          <w:szCs w:val="24"/>
        </w:rPr>
      </w:pPr>
      <w:r>
        <w:rPr>
          <w:rFonts w:hint="eastAsia" w:ascii="楷体" w:hAnsi="楷体" w:eastAsia="楷体" w:cs="楷体"/>
          <w:color w:val="888888"/>
          <w:spacing w:val="12"/>
          <w:sz w:val="24"/>
          <w:szCs w:val="24"/>
          <w:shd w:val="clear" w:fill="FFFFFF"/>
        </w:rPr>
        <w:t>3、zì zhǐ lǐ guǒ zhe xì yín sī ，xì yín sī shàng pā zhe sì qiān sì bǎi sì shí sì gè sì sǐ sì bú sǐ de xiǎo sǐ shī zǐ pí 。 </w:t>
      </w: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bookmarkStart w:id="0" w:name="_GoBack"/>
      <w:bookmarkEnd w:id="0"/>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一季度，我国持续拓展农业多种功能，挖掘乡村多元价值，加快发展富民乡村产业，乡村产业发展保持良好势头。一季度，乡村新产业新业态保持平稳，休闲农业、乡村旅游快速发展，拉动消费市场。到乡村过大年、品美食、游冰雪、赏春花成为城乡居民度假首选。农产品网络零售额增速预计10%左右。浙江安吉大竹园村对村容村貌微改造、精提升，全新亮相的文旅融合梦工厂成为附近最靓打卡地；河南夏邑王营村，网络销售成为新时尚，7万单快递正从这里发往全国，网上销售额达1.5亿元；贵州全省实现5G乡乡通，物联网+种养殖，数字化+特色产业，乡村产业发展迈入数字经济新时代。一季度，受农产品稳产保供强力拉动，农产品加工业稳中向好。规模以上农产品加工企业营业收入保持增长态势，全国农副食品加工业增加值同比增长6.4%。国家重点龙头企业采购经理指数季度均值达54.7%，高于同期制造业近5个百分点。为进一步拓展农业多种功能，提升乡村多元价值，一季度，我国新建40个优势特色产业集群、50个国家现代农业产业园、200个农业产业强镇，打造一批产业发展高地。乡村产业蓬勃发展，有力带动农民就地就近就业。截至3月底，农村返乡留乡农民工超过8成实现了就近就业，县域内吸纳农村劳动力转移就业人数增加1100多万人，同比增长9%。</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A35B26"/>
    <w:multiLevelType w:val="singleLevel"/>
    <w:tmpl w:val="46A35B2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E490F"/>
    <w:rsid w:val="140E490F"/>
    <w:rsid w:val="686320E8"/>
    <w:rsid w:val="68E6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2022-07-17T15:54:00Z</dcterms:created>
  <dc:creator>陈迈骐</dc:creator>
  <cp:lastModifiedBy>陈迈骐</cp:lastModifiedBy>
  <dcterms:modified xsi:type="dcterms:W3CDTF">2022-08-23T02:51:46Z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D61F01A1DE424610AFD4FD2B22404804</vt:lpwstr>
  </property>
</Properties>
</file>