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keepNext w:val="0"/>
        <w:keepLines w:val="0"/>
        <w:widowControl/>
        <w:suppressLineNumbers w:val="0"/>
        <w:spacing w:before="0" w:beforeAutospacing="0" w:after="0" w:afterAutospacing="0"/>
        <w:ind w:left="0" w:right="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ia：天上飘着一片霞，水上飘着一群鸭。霞是五彩霞，鸭是麻花鸭。麻花鸭游进五彩霞，五彩霞挽住麻花鸭。乐坏了鸭，拍碎了霞，分不清是鸭还是霞。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right="192"/>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888888"/>
          <w:spacing w:val="12"/>
          <w:sz w:val="24"/>
          <w:szCs w:val="24"/>
          <w:shd w:val="clear" w:fill="FFFFFF"/>
        </w:rPr>
        <w:t>ia：tiān shàng piāo zhe yī piàn xiá ，shuǐ shàng piāo zhe yī qún yā 。xiá shì wǔ cǎi xiá ，yā shì má huā yā 。má huā yā yóu jìn wǔ cǎi xiá ，wǔ cǎi xiá wǎn zhù má huā yā 。lè huài le yā ，pāi suì le xiá ，fèn bú qīng shì yā hái shì xiá。</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ie：姐姐借刀切茄子，去把儿去叶儿斜切丝，切好茄子烧茄子，炒茄子、蒸茄子，还有一碗焖茄子。</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bookmarkStart w:id="0" w:name="_GoBack"/>
      <w:bookmarkEnd w:id="0"/>
      <w:r>
        <w:rPr>
          <w:rFonts w:hint="eastAsia" w:ascii="楷体" w:hAnsi="楷体" w:eastAsia="楷体" w:cs="楷体"/>
          <w:i w:val="0"/>
          <w:iCs w:val="0"/>
          <w:caps w:val="0"/>
          <w:color w:val="888888"/>
          <w:spacing w:val="12"/>
          <w:kern w:val="0"/>
          <w:sz w:val="24"/>
          <w:szCs w:val="24"/>
          <w:shd w:val="clear" w:fill="FFFFFF"/>
          <w:lang w:val="en-US" w:eastAsia="zh-CN" w:bidi="ar"/>
        </w:rPr>
        <w:t>ie：jiě jiě jiè dāo qiē qié zǐ ，qù bǎ ér qù yè ér xié qiē sī ，qiē hǎo qié zǐ shāo qié zǐ ，chǎo qié zǐ 、zhēng qié zǐ ，hái yǒu yī wǎn mèn qié zǐ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iao：水上漂着一只表，表上落着一只鸟。鸟看表，表瞪鸟，鸟不认识表，表也不认识鸟。</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iao：shuǐ shàng piāo zhe yī zhī biǎo ，biǎo shàng luò zhe yī zhī niǎo 。niǎo kàn biǎo ，biǎo dèng niǎo ，niǎo bú rèn shí biǎo ，biǎo yě bú rèn shí niǎo。</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稳定早稻生产是今年国家确保粮食安全的关键之举。眼下，全国早稻播栽基本结束，进度快于上年。最新农情调度显示，全国春播进度近三成，面积达2.7亿亩，同比快1.4个百分点。其中，早稻播栽基本结束，大部分进入返青分蘖期。育秧难是影响早稻面积的突出问题。今年，中央产粮大县奖励资金加大对集中育秧支持力度。湖南在74个早稻生产重点县推广集中育秧，面积比去年增加150万亩，覆盖了全省早稻面积四分之三。今年，中央在早稻主产区大力开展社会化服务，确保不误农时、应种尽种。江西整合资金4.15亿元，重点支持机插机播等关键环节开展社会化服务。早稻不仅是重要的口粮作物，还直接关系到下一季晚稻面积的落实，对稳定全年粮食面积十分重要。今年，早稻集中育秧面积比上年提高3.3个百分点，机插秧提高2.5个百分点，主产区一二类苗达83.8%，比上年提高2.9个百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0"/>
          <w:kern w:val="0"/>
          <w:sz w:val="24"/>
          <w:szCs w:val="24"/>
          <w:shd w:val="clear" w:fill="FFFFFF"/>
          <w:lang w:val="en-US" w:eastAsia="zh-CN" w:bidi="ar"/>
        </w:rPr>
        <w:t> </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E33C8"/>
    <w:rsid w:val="09987C5C"/>
    <w:rsid w:val="139E33C8"/>
    <w:rsid w:val="1B1C7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2022-07-17T15:53:00Z</dcterms:created>
  <dc:creator>陈迈骐</dc:creator>
  <cp:lastModifiedBy>陈迈骐</cp:lastModifiedBy>
  <dcterms:modified xsi:type="dcterms:W3CDTF">2022-08-23T02:52:17Z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5916F035EAEA4DC39549EF237D073A31</vt:lpwstr>
  </property>
</Properties>
</file>