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265" w:firstLineChars="10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sz w:val="24"/>
          <w:szCs w:val="24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字</w:t>
      </w:r>
      <w:bookmarkStart w:id="0" w:name="_GoBack"/>
      <w:bookmarkEnd w:id="0"/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词练习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2"/>
          <w:sz w:val="24"/>
          <w:szCs w:val="24"/>
          <w:shd w:val="clear" w:fill="FFFFFF"/>
        </w:rPr>
        <w:t>憨态可掬（hān tài kě jū）  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文质彬彬（wén zhì bīn bīn） 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风度翩翩（fēng dù piān piān） 相貌堂堂（xiàng mào táng táng）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落落大方（luò luò dà fāng）  斗志昂扬 （dòu zhì áng yáng）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意气风发 （yì qì fēng fā）威风凛凛  （wēi fēng lǐn lǐn）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容光焕发（óng guāng huàn fā） 神采奕奕（shén cǎi yì yì） 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悠然自得（yōu rán zì dé）  眉飞色舞（méi fēi sè wǔ）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22" w:lineRule="atLeast"/>
        <w:ind w:left="0" w:right="0"/>
        <w:jc w:val="center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《新闻联播》节选练习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今年以来，面对严峻复杂的外部环境和国内疫情多点散发带来的新挑战，我国持续扩大高水平对外开放，推动外贸稳步增长。一季度，我国有进出口实绩的外贸企业数量43.2万家，同比增长5.7%，其中民营企业进出口增长14.1%，较外贸整体增速高3.4个百分点。减税降费、维护产业链供应链畅通、持续优化营商环境等一系列政策“组合拳”靠前发力，有力激发了外贸市场主体活力。正在举行的第131届广交会上，2.5万多家参展商与全球220多个国家和地区的采购商在云端积极对接、洽谈。一季度，国际市场对我国产品需求仍然在扩大。机电产品占出口总值的58.4%，其中太阳能电池和汽车出口同比分别增长100.8%和83.4%。高水平对外开放持续释放新动能。一季度，21个自贸试验区进出口增速继续领跑全国；全国综合保税区增至156个，实现了全国约七分之一的进出口值；跨境电商综合试验区增至132个，跨境电商进出口额超4300亿元，继续保持增长。一季度，中欧班列共开行3630列，单月开行量连续23个月保持千列以上。中老铁路运送进出口货物超27万吨。与此同时，区域全面经济伙伴关系协定（RCEP）生效实施对区域贸易拉动作用正逐步显现，一季度，我国与RCEP其他14个成员国进出口总值超过2万亿元，占同期中国外贸总值的30.4%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  <w:rPr>
          <w:rFonts w:hint="eastAsia" w:ascii="楷体" w:hAnsi="楷体" w:eastAsia="楷体" w:cs="楷体"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"http://byzc.com/news/25736.html" \l "##" </w:instrTex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4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551D6"/>
    <w:multiLevelType w:val="multilevel"/>
    <w:tmpl w:val="00B551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F32E4"/>
    <w:rsid w:val="338115F3"/>
    <w:rsid w:val="456F32E4"/>
    <w:rsid w:val="6B7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2022-08-21T10:07:00Z</dcterms:created>
  <dc:creator>陈迈骐</dc:creator>
  <cp:lastModifiedBy>陈迈骐</cp:lastModifiedBy>
  <dcterms:modified xsi:type="dcterms:W3CDTF">2022-08-23T02:59:43Z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1B781CDF104D4ABAB9C62608AB9B23D5</vt:lpwstr>
  </property>
</Properties>
</file>