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7"/>
          <w:rFonts w:hint="eastAsia" w:ascii="楷体" w:hAnsi="楷体" w:eastAsia="楷体" w:cs="楷体"/>
          <w:color w:val="D92142"/>
          <w:sz w:val="24"/>
          <w:szCs w:val="24"/>
        </w:rPr>
      </w:pPr>
      <w:r>
        <w:rPr>
          <w:rStyle w:val="7"/>
          <w:rFonts w:hint="eastAsia" w:ascii="楷体" w:hAnsi="楷体" w:eastAsia="楷体" w:cs="楷体"/>
          <w:color w:val="D92142"/>
          <w:sz w:val="24"/>
          <w:szCs w:val="24"/>
        </w:rPr>
        <w:t>绕口令练习</w:t>
      </w:r>
    </w:p>
    <w:p>
      <w:pPr>
        <w:numPr>
          <w:ilvl w:val="0"/>
          <w:numId w:val="1"/>
        </w:numPr>
        <w:rPr>
          <w:rFonts w:hint="eastAsia" w:ascii="楷体" w:hAnsi="楷体" w:eastAsia="楷体" w:cs="楷体"/>
          <w:sz w:val="24"/>
          <w:szCs w:val="24"/>
        </w:rPr>
      </w:pPr>
      <w:r>
        <w:rPr>
          <w:rFonts w:hint="eastAsia" w:ascii="楷体" w:hAnsi="楷体" w:eastAsia="楷体" w:cs="楷体"/>
          <w:sz w:val="24"/>
          <w:szCs w:val="24"/>
        </w:rPr>
        <w:t>上刺儿山，砍刺儿树，刺儿树扯破我皮裤。皮裤破，补皮裤，皮裤不破不必补皮裤。</w:t>
      </w:r>
    </w:p>
    <w:p>
      <w:pPr>
        <w:numPr>
          <w:ilvl w:val="0"/>
          <w:numId w:val="2"/>
        </w:numPr>
        <w:rPr>
          <w:rFonts w:hint="eastAsia" w:ascii="楷体" w:hAnsi="楷体" w:eastAsia="楷体" w:cs="楷体"/>
          <w:color w:val="888888"/>
          <w:sz w:val="24"/>
          <w:szCs w:val="24"/>
        </w:rPr>
      </w:pPr>
      <w:r>
        <w:rPr>
          <w:rFonts w:hint="eastAsia" w:ascii="楷体" w:hAnsi="楷体" w:eastAsia="楷体" w:cs="楷体"/>
          <w:color w:val="888888"/>
          <w:sz w:val="24"/>
          <w:szCs w:val="24"/>
        </w:rPr>
        <w:t>shàng cì ér shān ，kǎn cì ér shù ，cì ér shù chě pò wǒ pí kù 。pí kù pò ，bǔ pí kù ，pí kù bú pò bú bì bǔ pí kù。</w:t>
      </w:r>
    </w:p>
    <w:p>
      <w:pPr>
        <w:numPr>
          <w:ilvl w:val="0"/>
          <w:numId w:val="2"/>
        </w:numPr>
        <w:ind w:left="0" w:leftChars="0" w:firstLine="0" w:firstLineChars="0"/>
        <w:rPr>
          <w:rFonts w:hint="eastAsia" w:ascii="楷体" w:hAnsi="楷体" w:eastAsia="楷体" w:cs="楷体"/>
          <w:sz w:val="24"/>
          <w:szCs w:val="24"/>
        </w:rPr>
      </w:pPr>
      <w:r>
        <w:rPr>
          <w:rFonts w:hint="eastAsia" w:ascii="楷体" w:hAnsi="楷体" w:eastAsia="楷体" w:cs="楷体"/>
          <w:sz w:val="24"/>
          <w:szCs w:val="24"/>
        </w:rPr>
        <w:t>爸爸抱宝宝，跑到布铺买布做长袍。宝宝穿了长袍不会跑，跑了八步就拉破了布长袍。布长袍破了还要用布补，再跑到布铺买布补长袍。</w:t>
      </w:r>
    </w:p>
    <w:p>
      <w:pPr>
        <w:numPr>
          <w:ilvl w:val="0"/>
          <w:numId w:val="2"/>
        </w:numPr>
        <w:ind w:left="0" w:leftChars="0" w:firstLine="0" w:firstLineChars="0"/>
        <w:rPr>
          <w:rFonts w:hint="eastAsia" w:ascii="楷体" w:hAnsi="楷体" w:eastAsia="楷体" w:cs="楷体"/>
          <w:color w:val="888888"/>
          <w:sz w:val="24"/>
          <w:szCs w:val="24"/>
        </w:rPr>
      </w:pPr>
      <w:r>
        <w:rPr>
          <w:rFonts w:hint="eastAsia" w:ascii="楷体" w:hAnsi="楷体" w:eastAsia="楷体" w:cs="楷体"/>
          <w:color w:val="888888"/>
          <w:sz w:val="24"/>
          <w:szCs w:val="24"/>
        </w:rPr>
        <w:t>bà bà bào bǎo bǎo ，pǎo dào bù pù mǎi bù zuò zhǎng páo 。bǎo bǎo chuān le zhǎng páo bú</w:t>
      </w:r>
      <w:bookmarkStart w:id="0" w:name="_GoBack"/>
      <w:bookmarkEnd w:id="0"/>
      <w:r>
        <w:rPr>
          <w:rFonts w:hint="eastAsia" w:ascii="楷体" w:hAnsi="楷体" w:eastAsia="楷体" w:cs="楷体"/>
          <w:color w:val="888888"/>
          <w:sz w:val="24"/>
          <w:szCs w:val="24"/>
        </w:rPr>
        <w:t xml:space="preserve"> huì pǎo ，pǎo le bā bù jiù lā pò le bù zhǎng páo 。bù zhǎng páo pò le hái yào yòng bù bǔ ，zài pǎo dào bù pù mǎi bù bǔ zhǎng páo 。 </w:t>
      </w:r>
    </w:p>
    <w:p>
      <w:pPr>
        <w:numPr>
          <w:ilvl w:val="0"/>
          <w:numId w:val="2"/>
        </w:numPr>
        <w:ind w:left="0" w:leftChars="0" w:firstLine="0" w:firstLineChars="0"/>
        <w:rPr>
          <w:rFonts w:hint="eastAsia" w:ascii="楷体" w:hAnsi="楷体" w:eastAsia="楷体" w:cs="楷体"/>
          <w:color w:val="888888"/>
          <w:spacing w:val="12"/>
          <w:sz w:val="24"/>
          <w:szCs w:val="24"/>
          <w:shd w:val="clear" w:fill="FFFFFF"/>
        </w:rPr>
      </w:pPr>
      <w:r>
        <w:rPr>
          <w:rFonts w:hint="eastAsia" w:ascii="楷体" w:hAnsi="楷体" w:eastAsia="楷体" w:cs="楷体"/>
          <w:color w:val="3E3E3E"/>
          <w:spacing w:val="12"/>
          <w:sz w:val="24"/>
          <w:szCs w:val="24"/>
          <w:shd w:val="clear" w:fill="FFFFFF"/>
        </w:rPr>
        <w:t>生身亲母亲，谨请您就寝，请您心宁静，身心很要紧，新星伴明月，银光澄清清。</w:t>
      </w:r>
      <w:r>
        <w:rPr>
          <w:rFonts w:hint="eastAsia" w:ascii="楷体" w:hAnsi="楷体" w:eastAsia="楷体" w:cs="楷体"/>
          <w:color w:val="3E3E3E"/>
          <w:spacing w:val="12"/>
          <w:sz w:val="24"/>
          <w:szCs w:val="24"/>
          <w:shd w:val="clear" w:fill="FFFFFF"/>
        </w:rPr>
        <w:t>尽是清静镜，警铃不要惊，您请我进来，进来敬母亲。</w:t>
      </w:r>
      <w:r>
        <w:rPr>
          <w:rFonts w:hint="eastAsia" w:ascii="楷体" w:hAnsi="楷体" w:eastAsia="楷体" w:cs="楷体"/>
          <w:color w:val="888888"/>
          <w:spacing w:val="12"/>
          <w:sz w:val="24"/>
          <w:szCs w:val="24"/>
          <w:shd w:val="clear" w:fill="FFFFFF"/>
        </w:rPr>
        <w:t>3、shēng shēn qīn mǔ qīn，jǐn qǐng nín jiù qǐn，qǐng nín xīn níng jìng，shēn xīn hěn yào jǐn，xīn xīng bàn míng yuè，yín guāng chéng qīng qīng。jìn shì qīng jìng jìng，jǐng líng bú yào jīng，nín qǐng wǒ jìn lái，jìn lái jìng mǔ qīn。</w:t>
      </w:r>
    </w:p>
    <w:p>
      <w:pPr>
        <w:numPr>
          <w:numId w:val="0"/>
        </w:numPr>
        <w:ind w:leftChars="0"/>
        <w:jc w:val="center"/>
        <w:rPr>
          <w:rStyle w:val="7"/>
          <w:rFonts w:hint="eastAsia" w:ascii="楷体" w:hAnsi="楷体" w:eastAsia="楷体" w:cs="楷体"/>
          <w:color w:val="D92142"/>
          <w:sz w:val="24"/>
          <w:szCs w:val="24"/>
        </w:rPr>
      </w:pPr>
    </w:p>
    <w:p>
      <w:pPr>
        <w:numPr>
          <w:numId w:val="0"/>
        </w:numPr>
        <w:ind w:leftChars="0"/>
        <w:jc w:val="center"/>
        <w:rPr>
          <w:rStyle w:val="7"/>
          <w:rFonts w:hint="eastAsia" w:ascii="楷体" w:hAnsi="楷体" w:eastAsia="楷体" w:cs="楷体"/>
          <w:color w:val="D92142"/>
          <w:sz w:val="24"/>
          <w:szCs w:val="24"/>
        </w:rPr>
      </w:pPr>
    </w:p>
    <w:p>
      <w:pPr>
        <w:numPr>
          <w:numId w:val="0"/>
        </w:numPr>
        <w:ind w:leftChars="0"/>
        <w:jc w:val="center"/>
        <w:rPr>
          <w:rStyle w:val="7"/>
          <w:rFonts w:hint="eastAsia" w:ascii="楷体" w:hAnsi="楷体" w:eastAsia="楷体" w:cs="楷体"/>
          <w:color w:val="D92142"/>
          <w:sz w:val="24"/>
          <w:szCs w:val="24"/>
        </w:rPr>
      </w:pPr>
    </w:p>
    <w:p>
      <w:pPr>
        <w:numPr>
          <w:numId w:val="0"/>
        </w:numPr>
        <w:ind w:leftChars="0"/>
        <w:jc w:val="center"/>
        <w:rPr>
          <w:rStyle w:val="7"/>
          <w:rFonts w:hint="eastAsia" w:ascii="楷体" w:hAnsi="楷体" w:eastAsia="楷体" w:cs="楷体"/>
          <w:color w:val="D92142"/>
          <w:sz w:val="24"/>
          <w:szCs w:val="24"/>
        </w:rPr>
      </w:pPr>
    </w:p>
    <w:p>
      <w:pPr>
        <w:numPr>
          <w:numId w:val="0"/>
        </w:numPr>
        <w:ind w:leftChars="0"/>
        <w:jc w:val="center"/>
        <w:rPr>
          <w:rStyle w:val="7"/>
          <w:rFonts w:hint="eastAsia" w:ascii="楷体" w:hAnsi="楷体" w:eastAsia="楷体" w:cs="楷体"/>
          <w:color w:val="D92142"/>
          <w:sz w:val="24"/>
          <w:szCs w:val="24"/>
        </w:rPr>
      </w:pPr>
      <w:r>
        <w:rPr>
          <w:rStyle w:val="7"/>
          <w:rFonts w:hint="eastAsia" w:ascii="楷体" w:hAnsi="楷体" w:eastAsia="楷体" w:cs="楷体"/>
          <w:color w:val="D92142"/>
          <w:sz w:val="24"/>
          <w:szCs w:val="24"/>
        </w:rPr>
        <w:t>《新闻联播》节选练习</w:t>
      </w:r>
    </w:p>
    <w:p>
      <w:pPr>
        <w:numPr>
          <w:numId w:val="0"/>
        </w:numPr>
        <w:ind w:leftChars="0"/>
        <w:rPr>
          <w:rFonts w:hint="eastAsia" w:ascii="楷体" w:hAnsi="楷体" w:eastAsia="楷体" w:cs="楷体"/>
          <w:sz w:val="24"/>
          <w:szCs w:val="24"/>
        </w:rPr>
      </w:pPr>
      <w:r>
        <w:rPr>
          <w:rFonts w:hint="eastAsia" w:ascii="楷体" w:hAnsi="楷体" w:eastAsia="楷体" w:cs="楷体"/>
          <w:sz w:val="24"/>
          <w:szCs w:val="24"/>
        </w:rPr>
        <w:t>国务院联防联控机制4月19日举行新闻发布会，介绍从严从实抓好疫情防控有关情况。国家卫生健康委相关负责人介绍，3月1日以来，全国累计报告本土感染者497214例，波及除西藏自治区以外的所有省份。国务院联防联控机制综合组继续坚定不移贯彻落实“外防输入、内防反弹”总策略和“动态清零”总方针，指导各地科学依法、精准防控，推动检测、转运、收治各环节紧密衔接，尽早实现社会面清零目标。交通运输部相关负责人介绍，下一步将围绕实现民生托底、货运畅通、产业循环着力抓好十个方面的工作，包括加快推广使用全国统一互认的通行证、筹备设置和用好物流中转场地等。农业农村部相关负责人介绍，下一步将会同相关部门，从农村实际和农时农事需要出发，坚持分级分类、精准防控，切实打通堵点卡点，维护农业生产和人员物资流通秩序，确保不误农时抓好春耕生产。国家邮政局相关负责人介绍，在疫情严重地区，依托快递园区等设施设立分拨场地，将邮政快递作为民生重点，切实保障邮政快递车辆的通行。</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F25E11"/>
    <w:multiLevelType w:val="singleLevel"/>
    <w:tmpl w:val="CAF25E11"/>
    <w:lvl w:ilvl="0" w:tentative="0">
      <w:start w:val="1"/>
      <w:numFmt w:val="decimal"/>
      <w:suff w:val="nothing"/>
      <w:lvlText w:val="%1、"/>
      <w:lvlJc w:val="left"/>
    </w:lvl>
  </w:abstractNum>
  <w:abstractNum w:abstractNumId="1">
    <w:nsid w:val="5FED9325"/>
    <w:multiLevelType w:val="singleLevel"/>
    <w:tmpl w:val="5FED932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954F6"/>
    <w:rsid w:val="368954F6"/>
    <w:rsid w:val="39AD5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2022-08-21T10:10:00Z</dcterms:created>
  <dc:creator>陈迈骐</dc:creator>
  <cp:lastModifiedBy>陈迈骐</cp:lastModifiedBy>
  <dcterms:modified xsi:type="dcterms:W3CDTF">2022-08-23T03:04:11Z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B9C8F34FD581404CAA0D8E851A02C9BE</vt:lpwstr>
  </property>
</Properties>
</file>