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0" w:lineRule="atLeast"/>
        <w:jc w:val="center"/>
        <w:textAlignment w:val="auto"/>
        <w:rPr>
          <w:rFonts w:hint="eastAsia" w:ascii="楷体" w:hAnsi="楷体" w:eastAsia="楷体" w:cs="楷体"/>
          <w:sz w:val="24"/>
          <w:szCs w:val="24"/>
        </w:rPr>
      </w:pPr>
      <w:r>
        <w:rPr>
          <w:rStyle w:val="7"/>
          <w:rFonts w:hint="eastAsia" w:ascii="楷体" w:hAnsi="楷体" w:eastAsia="楷体" w:cs="楷体"/>
          <w:color w:val="D92142"/>
          <w:kern w:val="0"/>
          <w:sz w:val="24"/>
          <w:szCs w:val="24"/>
          <w:lang w:val="en-US" w:eastAsia="zh-CN" w:bidi="ar"/>
        </w:rPr>
        <w:t>绕口令练习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0" w:beforeAutospacing="0" w:after="180" w:afterAutospacing="0" w:line="0" w:lineRule="atLeast"/>
        <w:ind w:right="192"/>
        <w:textAlignment w:val="auto"/>
        <w:rPr>
          <w:rFonts w:hint="eastAsia" w:ascii="楷体" w:hAnsi="楷体" w:eastAsia="楷体" w:cs="楷体"/>
          <w:color w:val="3E3E3E"/>
          <w:spacing w:val="12"/>
          <w:sz w:val="24"/>
          <w:szCs w:val="24"/>
        </w:rPr>
      </w:pPr>
      <w:r>
        <w:rPr>
          <w:rFonts w:hint="eastAsia" w:ascii="楷体" w:hAnsi="楷体" w:eastAsia="楷体" w:cs="楷体"/>
          <w:color w:val="3E3E3E"/>
          <w:spacing w:val="12"/>
          <w:sz w:val="24"/>
          <w:szCs w:val="24"/>
          <w:shd w:val="clear" w:fill="FFFFFF"/>
        </w:rPr>
        <w:t>1、婆婆和嬷嬷，来到山坡坡，婆婆默默采蘑菇，嬷嬷默默拔萝卜。</w:t>
      </w:r>
      <w:r>
        <w:rPr>
          <w:rFonts w:hint="eastAsia" w:ascii="楷体" w:hAnsi="楷体" w:eastAsia="楷体" w:cs="楷体"/>
          <w:color w:val="3E3E3E"/>
          <w:spacing w:val="12"/>
          <w:sz w:val="24"/>
          <w:szCs w:val="24"/>
          <w:shd w:val="clear" w:fill="FFFFFF"/>
        </w:rPr>
        <w:t>婆婆拿了一个破簸箕，嬷嬷带了一个薄笸箩，婆婆采了半簸箕小蘑菇，嬷嬷拔了一笸箩大萝卜。婆婆采了蘑菇换饽饽，嬷嬷卖了萝卜买馍馍。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0" w:beforeAutospacing="0" w:after="180" w:afterAutospacing="0" w:line="0" w:lineRule="atLeast"/>
        <w:ind w:right="192"/>
        <w:textAlignment w:val="auto"/>
        <w:rPr>
          <w:rFonts w:hint="eastAsia" w:ascii="楷体" w:hAnsi="楷体" w:eastAsia="楷体" w:cs="楷体"/>
          <w:color w:val="3E3E3E"/>
          <w:spacing w:val="12"/>
          <w:sz w:val="24"/>
          <w:szCs w:val="24"/>
        </w:rPr>
      </w:pPr>
      <w:r>
        <w:rPr>
          <w:rFonts w:hint="eastAsia" w:ascii="楷体" w:hAnsi="楷体" w:eastAsia="楷体" w:cs="楷体"/>
          <w:color w:val="888888"/>
          <w:spacing w:val="12"/>
          <w:sz w:val="24"/>
          <w:szCs w:val="24"/>
          <w:shd w:val="clear" w:fill="FFFFFF"/>
        </w:rPr>
        <w:t>1、pó pó hé mó mó ，lái dào shān pō pō ，pó pó mò mò cǎi mó gū ，</w:t>
      </w:r>
      <w:bookmarkStart w:id="0" w:name="_GoBack"/>
      <w:bookmarkEnd w:id="0"/>
      <w:r>
        <w:rPr>
          <w:rFonts w:hint="eastAsia" w:ascii="楷体" w:hAnsi="楷体" w:eastAsia="楷体" w:cs="楷体"/>
          <w:color w:val="888888"/>
          <w:spacing w:val="12"/>
          <w:sz w:val="24"/>
          <w:szCs w:val="24"/>
          <w:shd w:val="clear" w:fill="FFFFFF"/>
        </w:rPr>
        <w:t>mó mó mò mò bá luó bo 。pó pó ná le yī gè pò bò jī ，mó mó dài le yī gè báo pǒ luó ，pó pó cǎi le bàn bò jī xiǎo mó gū ，mó mó bá le yī pǒ luó dà luó bo 。pó pó cǎi le mó gū huàn bō bō ，mó mó mài le luó bo mǎi mó mó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0" w:lineRule="atLeast"/>
        <w:jc w:val="left"/>
        <w:textAlignment w:val="auto"/>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河边两只鹅，白鹅与灰鹅，哦哦爱唱歌，唱得渴又饿，昂首吸飞蛾，飞蛾啄不住岸边去找窝。草窝暗又矮，只得去过河，河里真暖和，有吃又有喝，不能再挨饿，遨游真快活，安心唱爱歌。</w:t>
      </w:r>
    </w:p>
    <w:p>
      <w:pPr>
        <w:keepNext w:val="0"/>
        <w:keepLines w:val="0"/>
        <w:pageBreakBefore w:val="0"/>
        <w:widowControl/>
        <w:numPr>
          <w:numId w:val="0"/>
        </w:numPr>
        <w:suppressLineNumbers w:val="0"/>
        <w:kinsoku/>
        <w:wordWrap/>
        <w:overflowPunct/>
        <w:topLinePunct w:val="0"/>
        <w:autoSpaceDE/>
        <w:autoSpaceDN/>
        <w:bidi w:val="0"/>
        <w:adjustRightInd/>
        <w:snapToGrid/>
        <w:spacing w:line="0" w:lineRule="atLeast"/>
        <w:ind w:leftChars="0"/>
        <w:jc w:val="left"/>
        <w:textAlignment w:val="auto"/>
        <w:rPr>
          <w:rFonts w:hint="eastAsia" w:ascii="楷体" w:hAnsi="楷体" w:eastAsia="楷体" w:cs="楷体"/>
          <w:sz w:val="24"/>
          <w:szCs w:val="24"/>
        </w:rPr>
      </w:pPr>
      <w:r>
        <w:rPr>
          <w:rFonts w:hint="eastAsia" w:ascii="楷体" w:hAnsi="楷体" w:eastAsia="楷体" w:cs="楷体"/>
          <w:color w:val="888888"/>
          <w:kern w:val="0"/>
          <w:sz w:val="24"/>
          <w:szCs w:val="24"/>
          <w:lang w:val="en-US" w:eastAsia="zh-CN" w:bidi="ar"/>
        </w:rPr>
        <w:t>hé biān liǎng zhī é ，bái é yǔ huī é ，ò ò ài chàng gē ，chàng dé kě yòu è ，áng shǒu xī fēi é ，fēi é zhuó bú zhù àn biān qù zhǎo wō 。cǎo wō àn yòu ǎi ，zhī dé qù guò hé ，hé lǐ zhēn nuǎn hé ，yǒu chī yòu yǒu hē ，bú néng zài āi è ，áo yóu zhēn kuài huó ，ān xīn chàng ài gē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0" w:lineRule="atLeast"/>
        <w:ind w:left="0" w:leftChars="0" w:firstLine="0" w:firstLineChars="0"/>
        <w:jc w:val="left"/>
        <w:textAlignment w:val="auto"/>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高高山上到有一位老僧，身穿着衲头几千层。你要问老僧年纪有多么大，曾记得黄河九澄清。五百年前，澄一澄，总共是四千五百冬。</w:t>
      </w:r>
    </w:p>
    <w:p>
      <w:pPr>
        <w:keepNext w:val="0"/>
        <w:keepLines w:val="0"/>
        <w:pageBreakBefore w:val="0"/>
        <w:widowControl/>
        <w:numPr>
          <w:numId w:val="0"/>
        </w:numPr>
        <w:suppressLineNumbers w:val="0"/>
        <w:kinsoku/>
        <w:wordWrap/>
        <w:overflowPunct/>
        <w:topLinePunct w:val="0"/>
        <w:autoSpaceDE/>
        <w:autoSpaceDN/>
        <w:bidi w:val="0"/>
        <w:adjustRightInd/>
        <w:snapToGrid/>
        <w:spacing w:line="0" w:lineRule="atLeast"/>
        <w:ind w:leftChars="0"/>
        <w:jc w:val="left"/>
        <w:textAlignment w:val="auto"/>
        <w:rPr>
          <w:rFonts w:hint="eastAsia" w:ascii="楷体" w:hAnsi="楷体" w:eastAsia="楷体" w:cs="楷体"/>
          <w:sz w:val="24"/>
          <w:szCs w:val="24"/>
        </w:rPr>
      </w:pPr>
      <w:r>
        <w:rPr>
          <w:rFonts w:hint="eastAsia" w:ascii="楷体" w:hAnsi="楷体" w:eastAsia="楷体" w:cs="楷体"/>
          <w:color w:val="888888"/>
          <w:kern w:val="0"/>
          <w:sz w:val="24"/>
          <w:szCs w:val="24"/>
          <w:lang w:val="en-US" w:eastAsia="zh-CN" w:bidi="ar"/>
        </w:rPr>
        <w:t>3、gāo gāo shān shàng dào yǒu yī wèi lǎo sēng ,shēn chuān zhe nà tóu jǐ qiān céng 。nǐ yào wèn lǎo sēng nián jì yǒu duō me dà ，céng jì dé huáng hé jiǔ chéng qīng 。wǔ bǎi nián qián ，chéng yī chéng ，zǒng gòng shì sì qiān wǔ bǎi dōng 。</w:t>
      </w:r>
    </w:p>
    <w:p>
      <w:pPr>
        <w:keepNext w:val="0"/>
        <w:keepLines w:val="0"/>
        <w:pageBreakBefore w:val="0"/>
        <w:widowControl/>
        <w:numPr>
          <w:numId w:val="0"/>
        </w:numPr>
        <w:suppressLineNumbers w:val="0"/>
        <w:kinsoku/>
        <w:wordWrap/>
        <w:overflowPunct/>
        <w:topLinePunct w:val="0"/>
        <w:autoSpaceDE/>
        <w:autoSpaceDN/>
        <w:bidi w:val="0"/>
        <w:adjustRightInd/>
        <w:snapToGrid/>
        <w:spacing w:line="0" w:lineRule="atLeast"/>
        <w:ind w:leftChars="0"/>
        <w:jc w:val="center"/>
        <w:textAlignment w:val="auto"/>
        <w:rPr>
          <w:rStyle w:val="7"/>
          <w:rFonts w:hint="eastAsia" w:ascii="楷体" w:hAnsi="楷体" w:eastAsia="楷体" w:cs="楷体"/>
          <w:color w:val="D92142"/>
          <w:kern w:val="0"/>
          <w:sz w:val="24"/>
          <w:szCs w:val="24"/>
          <w:lang w:val="en-US" w:eastAsia="zh-CN" w:bidi="ar"/>
        </w:rPr>
      </w:pPr>
      <w:r>
        <w:rPr>
          <w:rStyle w:val="7"/>
          <w:rFonts w:hint="eastAsia" w:ascii="楷体" w:hAnsi="楷体" w:eastAsia="楷体" w:cs="楷体"/>
          <w:color w:val="D92142"/>
          <w:kern w:val="0"/>
          <w:sz w:val="24"/>
          <w:szCs w:val="24"/>
          <w:lang w:val="en-US" w:eastAsia="zh-CN" w:bidi="ar"/>
        </w:rPr>
        <w:t>《新闻联播》节选练习</w:t>
      </w:r>
    </w:p>
    <w:p>
      <w:pPr>
        <w:keepNext w:val="0"/>
        <w:keepLines w:val="0"/>
        <w:pageBreakBefore w:val="0"/>
        <w:widowControl/>
        <w:numPr>
          <w:numId w:val="0"/>
        </w:numPr>
        <w:suppressLineNumbers w:val="0"/>
        <w:kinsoku/>
        <w:wordWrap/>
        <w:overflowPunct/>
        <w:topLinePunct w:val="0"/>
        <w:autoSpaceDE/>
        <w:autoSpaceDN/>
        <w:bidi w:val="0"/>
        <w:adjustRightInd/>
        <w:snapToGrid/>
        <w:spacing w:line="0" w:lineRule="atLeast"/>
        <w:ind w:leftChars="0"/>
        <w:jc w:val="left"/>
        <w:textAlignment w:val="auto"/>
        <w:rPr>
          <w:rFonts w:hint="eastAsia" w:ascii="楷体" w:hAnsi="楷体" w:eastAsia="楷体" w:cs="楷体"/>
          <w:sz w:val="24"/>
          <w:szCs w:val="24"/>
        </w:rPr>
      </w:pPr>
      <w:r>
        <w:rPr>
          <w:rFonts w:hint="eastAsia" w:ascii="楷体" w:hAnsi="楷体" w:eastAsia="楷体" w:cs="楷体"/>
          <w:kern w:val="0"/>
          <w:sz w:val="24"/>
          <w:szCs w:val="24"/>
          <w:lang w:val="en-US" w:eastAsia="zh-CN" w:bidi="ar"/>
        </w:rPr>
        <w:t>百年大计，教育为本。基础教育事关国家发展、民族未来。党的十八大以来，以习近平同志为核心的党中央始终把基础教育摆在基础性、先导性和全局性战略地位，坚持公共财政优先投入，坚持立德树人，促进学生的全面发展，为民族复兴筑牢稳固根基。我国基础教育的短板在乡村，习近平总书记多次强调缩小城乡差距，特别是要加大对革命老区、民族地区、边远地区、贫困地区基础教育的投入力度。这是地处重庆大山深处的石柱中益乡小学，孩子们正在上英语口语直播课。如今，多媒体教学让孩子们联通了外部世界，音体美设施和科技馆也一应俱全，可就在十年前，这里连一台像样的电脑都没有。2019年，习近平总书记在重庆考察时曾辗转3个多小时来到石柱中益乡小学，他指出，“两不愁三保障”很重要的一条就是义务教育要有保障，要保证贫困山区的孩子上学受教育，有一个幸福快乐的童年。中益乡小学的十年巨变是我国乡村学校全面改善的一个缩影。党的十八大以来，中央财政累计安排超2959亿元支持改善义务教育薄弱学校办学条件。截至目前，全国99.8%的义务教育学校办学条件达到基本要求，城乡办学条件差距明显缩小；强力推进的控辍保学让义务教育辍学学生由60万人降到不到500人，到2021年，九年义务教育巩固率达到95.4%。而在城市，教育也向着更加公平更加优质迈进，校际间的差距逐渐缩小，老百姓家门口的好学校越来越多。成都青羊区石室联合中学蜀华分校十年前还是一所老百姓都不愿意去的薄弱学校，通过和名校的集团化办学，如今已成为一所颇具口碑的九年一贯制新优质学校。党的十八大以来，国家财政性教育经费近70%用于基础教育，基础教育经费总投入翻了一番多。我国基础教育从学前到高中都取得了长足的发展，普惠性幼儿园覆盖率从2016年的不足68%已提高到87.78%，城乡免费义务教育全面普及，高中毛入学率从2012年的85%提高至91.4%，我国基础教育从“有学上”步入了“上好学”的新阶段。落实立德树人根本任务，培养德智体美劳全面发展的社会主义建设者和接班人。党的十八大以来，关于德育、体育、美育、劳动教育等一系列文件的出台，促进基础教育以掌握知识和技能为重向全面育人、综合育人转变。2021年7月，“双减”政策落地实施，进一步助推基础教育向育人本质回归。课外负担和作业负担得到有效缓解，各地中小学在规定时间完成书面作业的学生由“双减”前的46%提高到90%以上。迈入新时代的基础教育已进入全面提高育人质量的新阶段，为培育担当民族复兴大业的时代新人做好基础工程，筑牢强国伟业的教育根基。</w:t>
      </w:r>
    </w:p>
    <w:sectPr>
      <w:head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3"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FBBCF4"/>
    <w:multiLevelType w:val="singleLevel"/>
    <w:tmpl w:val="DEFBBCF4"/>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5D023D"/>
    <w:rsid w:val="345D023D"/>
    <w:rsid w:val="409E2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2022-08-21T10:16:00Z</dcterms:created>
  <dc:creator>陈迈骐</dc:creator>
  <cp:lastModifiedBy>陈迈骐</cp:lastModifiedBy>
  <dcterms:modified xsi:type="dcterms:W3CDTF">2022-08-26T09:03:48Z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C7702938484542618F739440932ABFD6</vt:lpwstr>
  </property>
</Properties>
</file>