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楷体" w:hAnsi="楷体" w:eastAsia="楷体" w:cs="楷体"/>
          <w:sz w:val="24"/>
          <w:szCs w:val="24"/>
        </w:rPr>
      </w:pPr>
      <w:r>
        <w:rPr>
          <w:rStyle w:val="8"/>
          <w:rFonts w:hint="eastAsia" w:ascii="楷体" w:hAnsi="楷体" w:eastAsia="楷体" w:cs="楷体"/>
          <w:color w:val="D92142"/>
          <w:kern w:val="0"/>
          <w:sz w:val="24"/>
          <w:szCs w:val="24"/>
          <w:lang w:val="en-US" w:eastAsia="zh-CN" w:bidi="ar"/>
        </w:rPr>
        <w:t>绕口令练习</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1、一葫芦酒，九两六。一葫芦油，六两九。六两九的油，要换九两六的酒，九两六的酒，不换六两九的油。</w:t>
      </w:r>
    </w:p>
    <w:p>
      <w:pPr>
        <w:keepNext w:val="0"/>
        <w:keepLines w:val="0"/>
        <w:widowControl/>
        <w:suppressLineNumbers w:val="0"/>
        <w:jc w:val="left"/>
        <w:rPr>
          <w:rFonts w:hint="eastAsia" w:ascii="楷体" w:hAnsi="楷体" w:eastAsia="楷体" w:cs="楷体"/>
          <w:color w:val="3E3E3E"/>
          <w:spacing w:val="12"/>
          <w:sz w:val="24"/>
          <w:szCs w:val="24"/>
        </w:rPr>
      </w:pPr>
      <w:r>
        <w:rPr>
          <w:rFonts w:hint="eastAsia" w:ascii="楷体" w:hAnsi="楷体" w:eastAsia="楷体" w:cs="楷体"/>
          <w:color w:val="7B7F83"/>
          <w:kern w:val="0"/>
          <w:sz w:val="24"/>
          <w:szCs w:val="24"/>
          <w:lang w:val="en-US" w:eastAsia="zh-CN" w:bidi="ar"/>
        </w:rPr>
        <w:t>1、yī hú lú jiǔ ，jiǔ liǎng liù 。yī hú lú yóu ，liù liǎng jiǔ 。liù liǎng jiǔ de yóu ，yào huàn jiǔ liǎng liù de jiǔ ，jiǔ liǎng liù de jiǔ ，bú huàn liù liǎng jiǔ de yóu 。</w:t>
      </w:r>
    </w:p>
    <w:p>
      <w:pPr>
        <w:keepNext w:val="0"/>
        <w:keepLines w:val="0"/>
        <w:widowControl/>
        <w:numPr>
          <w:ilvl w:val="0"/>
          <w:numId w:val="1"/>
        </w:numPr>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kern w:val="0"/>
          <w:sz w:val="24"/>
          <w:szCs w:val="24"/>
          <w:lang w:val="en-US" w:eastAsia="zh-CN" w:bidi="ar"/>
        </w:rPr>
        <w:t>大帆船，小帆船，竖起桅杆撑起船。风吹帆，帆引船，帆船顺风转海湾。</w:t>
      </w:r>
      <w:r>
        <w:rPr>
          <w:rFonts w:hint="eastAsia" w:ascii="楷体" w:hAnsi="楷体" w:eastAsia="楷体" w:cs="楷体"/>
          <w:color w:val="888888"/>
          <w:kern w:val="0"/>
          <w:sz w:val="24"/>
          <w:szCs w:val="24"/>
          <w:lang w:val="en-US" w:eastAsia="zh-CN" w:bidi="ar"/>
        </w:rPr>
        <w:t>2、dà fān chuán ，xiǎo fān chuán ，shù qǐ wéi gǎn chēng qǐ chuán 。fēng chuī fān ，fān yǐn chuán ，fān chuán shùn fēng zhuǎn hǎi wān 。</w:t>
      </w:r>
      <w:r>
        <w:rPr>
          <w:rFonts w:hint="eastAsia" w:ascii="楷体" w:hAnsi="楷体" w:eastAsia="楷体" w:cs="楷体"/>
          <w:kern w:val="0"/>
          <w:sz w:val="24"/>
          <w:szCs w:val="24"/>
          <w:lang w:val="en-US" w:eastAsia="zh-CN" w:bidi="ar"/>
        </w:rPr>
        <w:t>3、出前门，往正南，有个面铺面冲南，门口挂着蓝布棉门帘。摘了它的蓝布棉门帘，面铺面冲南，给他挂上蓝布棉门帘，面铺还是面冲南。</w:t>
      </w:r>
      <w:r>
        <w:rPr>
          <w:rFonts w:hint="eastAsia" w:ascii="楷体" w:hAnsi="楷体" w:eastAsia="楷体" w:cs="楷体"/>
          <w:color w:val="888888"/>
          <w:kern w:val="0"/>
          <w:sz w:val="24"/>
          <w:szCs w:val="24"/>
          <w:lang w:val="en-US" w:eastAsia="zh-CN" w:bidi="ar"/>
        </w:rPr>
        <w:t>3、chū qián mén ，wǎng zhèng nán ，yǒu gè miàn pù miàn chòng nán ，mén kǒu guà zhe lán bù mián mén lián 。zhāi le tā de lán bù mián mén lián ，miàn pù miàn chòng nán ，gěi tā guà shàng lán bù mián mén lián ，miàn pù hái shì miàn chòng nán 。</w:t>
      </w:r>
    </w:p>
    <w:p>
      <w:pPr>
        <w:keepNext w:val="0"/>
        <w:keepLines w:val="0"/>
        <w:widowControl/>
        <w:numPr>
          <w:numId w:val="0"/>
        </w:numPr>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numPr>
          <w:numId w:val="0"/>
        </w:numPr>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numPr>
          <w:numId w:val="0"/>
        </w:numPr>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numPr>
          <w:numId w:val="0"/>
        </w:numPr>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numPr>
          <w:numId w:val="0"/>
        </w:numPr>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numPr>
          <w:numId w:val="0"/>
        </w:numPr>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习近平总书记指出，要继续完善农村公共基础设施，改善农村人居环境，把乡村建设得更加美丽。党的十八大以来，我国农村地区水电路讯等基础设施条件极大改善，村容村貌焕然一新，人们的获得感、幸福感持续增强。来看记者的一线调研。在四川大凉山深处的高山峡谷间，一座主桥墩高达196米的大桥已拔地而起，今年六月通车后，山上村民到对面县城只需要几分钟。这在十多年前是无法想象的。“出行靠走、过河靠溜”，这就是过去大凉山等贫困地区交通状况的真实写照。不仅如此，饮水不安全、垃圾围村、人畜混居等问题在很多地方也普遍存在。习近平总书记非常关心农村基础设施补短板问题，党的十八大以来，他多次就“四好农村路”的建设作出指示批示，一再强调要改善农村人居环境，重点做好农村垃圾污水治理、厕所革命、村容村貌提升，把乡村建设得更加美丽。在各地考察期间，习近平总书记经常会走进村庄院落，了解农村的交通状况、住房改善和改水改厕情况。2018年春节前夕，总书记沿着泥泞崎岖的山路深入到大凉山腹地的三河村、火普村，了解老乡们的生活情况。从易地扶贫搬迁到村村通公路，从农村喝上放心水到网络进村入户，党的十八大以来，我国启动大规模的农村基础设施改造工作，累计投入34628亿元建设资金，新改建238.6万公里农村公路，具备条件的乡镇和建制村全部实现通硬化路、通客车、通邮路、通光纤4G网络，八成以上农村人口喝上了自来水，农民吃水难问题得到历史性解决。2018年，国家启动农村人居环境整治三年行动，投入144亿元整村推进农村厕所革命，每年安排30亿元重点支持中西部地区开展农村生活垃圾污水、厕所粪污治理等基础设施建设；2021年底，三年行动方案目标任务全面完成，全国4000多万户农村户厕得到改造，农村卫生厕所普及率超过70%，九成以上的自然村建立了农村生活垃圾收运处置体系，各地因地制宜建立了5万多个不同类型的美丽宜居村庄。如今，在四川凉山州，近20万户村民搬进了明亮宽敞的新房子，水泥路通到了家门口，家家都有自来水和水冲式厕所，村庄里还建了污水处理系统和垃圾中转站，整洁而有特色的村容村貌不时吸引游客驻足停留。农村基础设施落后，曾经是制约农村现代化发展的短板，过去十年，国家下大力气改善农村基础设施，打造宜业宜居的农村人居环境，中国农村的面貌发生了前所未有的历史性变革。这不仅给亿万中国农民带来了更为便捷美好的生活，也为乡村振兴、为全面建设社会主义现代化国家奠定了坚实基础。</w:t>
      </w:r>
    </w:p>
    <w:p>
      <w:pPr>
        <w:rPr>
          <w:rFonts w:hint="eastAsia" w:ascii="楷体" w:hAnsi="楷体" w:eastAsia="楷体" w:cs="楷体"/>
          <w:sz w:val="24"/>
          <w:szCs w:val="24"/>
        </w:rPr>
      </w:pPr>
    </w:p>
    <w:sectPr>
      <w:headerReference r:id="rId3" w:type="default"/>
      <w:pgSz w:w="11906" w:h="16838"/>
      <w:pgMar w:top="720" w:right="947" w:bottom="720" w:left="9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60288" behindDoc="1" locked="0" layoutInCell="1" allowOverlap="1">
          <wp:simplePos x="0" y="0"/>
          <wp:positionH relativeFrom="margin">
            <wp:posOffset>92710</wp:posOffset>
          </wp:positionH>
          <wp:positionV relativeFrom="margin">
            <wp:posOffset>1522095</wp:posOffset>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425F60"/>
    <w:multiLevelType w:val="singleLevel"/>
    <w:tmpl w:val="96425F6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95834"/>
    <w:rsid w:val="01D769B7"/>
    <w:rsid w:val="25034EC9"/>
    <w:rsid w:val="25395834"/>
    <w:rsid w:val="29A80DCF"/>
    <w:rsid w:val="7630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2022-08-21T10:17:00Z</dcterms:created>
  <dc:creator>陈迈骐</dc:creator>
  <cp:lastModifiedBy>陈迈骐</cp:lastModifiedBy>
  <dcterms:modified xsi:type="dcterms:W3CDTF">2022-08-26T09:14:46Z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C3AEE0C1FB8D4975915C9CE59D20D274</vt:lpwstr>
  </property>
</Properties>
</file>