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left"/>
        <w:textAlignment w:val="top"/>
        <w:rPr>
          <w:rFonts w:ascii="Helvetica" w:hAnsi="Helvetica" w:eastAsia="Helvetica" w:cs="Helvetica"/>
          <w:i w:val="0"/>
          <w:iCs w:val="0"/>
          <w:caps w:val="0"/>
          <w:color w:val="000000"/>
          <w:spacing w:val="12"/>
          <w:sz w:val="19"/>
          <w:szCs w:val="19"/>
        </w:rPr>
      </w:pPr>
      <w:r>
        <w:rPr>
          <w:rStyle w:val="9"/>
          <w:rFonts w:hint="default" w:ascii="Helvetica" w:hAnsi="Helvetica" w:eastAsia="Helvetica" w:cs="Helvetica"/>
          <w:i w:val="0"/>
          <w:iCs w:val="0"/>
          <w:caps w:val="0"/>
          <w:color w:val="D92142"/>
          <w:spacing w:val="12"/>
          <w:kern w:val="0"/>
          <w:sz w:val="20"/>
          <w:szCs w:val="20"/>
          <w:bdr w:val="none" w:color="auto" w:sz="0" w:space="0"/>
          <w:shd w:val="clear" w:fill="FFFFFF"/>
          <w:lang w:val="en-US" w:eastAsia="zh-CN" w:bidi="ar"/>
        </w:rPr>
        <w:t>绕口令练习</w:t>
      </w:r>
      <w:r>
        <w:rPr>
          <w:rFonts w:hint="default" w:ascii="Helvetica" w:hAnsi="Helvetica" w:eastAsia="Helvetica" w:cs="Helvetica"/>
          <w:i w:val="0"/>
          <w:iCs w:val="0"/>
          <w:caps w:val="0"/>
          <w:color w:val="D92142"/>
          <w:spacing w:val="12"/>
          <w:kern w:val="0"/>
          <w:sz w:val="19"/>
          <w:szCs w:val="19"/>
          <w:bdr w:val="none" w:color="auto" w:sz="0" w:space="0"/>
          <w:shd w:val="clear" w:fill="FFFFFF"/>
          <w:lang w:val="en-US" w:eastAsia="zh-CN" w:bidi="ar"/>
        </w:rPr>
        <w:drawing>
          <wp:inline distT="0" distB="0" distL="114300" distR="114300">
            <wp:extent cx="3810000" cy="5715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810000" cy="571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left="192" w:right="192"/>
        <w:rPr>
          <w:rFonts w:ascii="PingFangTC-light" w:hAnsi="PingFangTC-light" w:eastAsia="PingFangTC-light" w:cs="PingFangTC-light"/>
          <w:color w:val="3E3E3E"/>
          <w:spacing w:val="12"/>
          <w:sz w:val="16"/>
          <w:szCs w:val="16"/>
        </w:rPr>
      </w:pPr>
      <w:r>
        <w:rPr>
          <w:rFonts w:ascii="PingFangTC-light" w:hAnsi="PingFangTC-light" w:eastAsia="PingFangTC-light" w:cs="PingFangTC-light"/>
          <w:i w:val="0"/>
          <w:iCs w:val="0"/>
          <w:caps w:val="0"/>
          <w:color w:val="3E3E3E"/>
          <w:spacing w:val="12"/>
          <w:sz w:val="16"/>
          <w:szCs w:val="16"/>
          <w:bdr w:val="none" w:color="auto" w:sz="0" w:space="0"/>
          <w:shd w:val="clear" w:fill="FFFFFF"/>
        </w:rPr>
        <w:t>1、</w:t>
      </w:r>
      <w:r>
        <w:rPr>
          <w:rFonts w:hint="default" w:ascii="PingFangTC-light" w:hAnsi="PingFangTC-light" w:eastAsia="PingFangTC-light" w:cs="PingFangTC-light"/>
          <w:i w:val="0"/>
          <w:iCs w:val="0"/>
          <w:caps w:val="0"/>
          <w:color w:val="3E3E3E"/>
          <w:spacing w:val="12"/>
          <w:sz w:val="16"/>
          <w:szCs w:val="16"/>
          <w:bdr w:val="none" w:color="auto" w:sz="0" w:space="0"/>
          <w:shd w:val="clear" w:fill="FFFFFF"/>
        </w:rPr>
        <w:t>石、斯、施、史四老师，天天和我在一起。石老师教我大公无私，斯老师给我精神食粮，施老师叫我遇事三思，史老师送我知识钥匙。我感谢石、斯、施史四老师。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left="192" w:right="192"/>
        <w:rPr>
          <w:rFonts w:hint="default" w:ascii="PingFangTC-light" w:hAnsi="PingFangTC-light" w:eastAsia="PingFangTC-light" w:cs="PingFangTC-light"/>
          <w:color w:val="3E3E3E"/>
          <w:spacing w:val="12"/>
          <w:sz w:val="16"/>
          <w:szCs w:val="16"/>
        </w:rPr>
      </w:pPr>
      <w:r>
        <w:rPr>
          <w:rFonts w:hint="default" w:ascii="PingFangTC-light" w:hAnsi="PingFangTC-light" w:eastAsia="PingFangTC-light" w:cs="PingFangTC-light"/>
          <w:i w:val="0"/>
          <w:iCs w:val="0"/>
          <w:caps w:val="0"/>
          <w:color w:val="7B7F83"/>
          <w:spacing w:val="12"/>
          <w:sz w:val="14"/>
          <w:szCs w:val="14"/>
          <w:bdr w:val="none" w:color="auto" w:sz="0" w:space="0"/>
          <w:shd w:val="clear" w:fill="FFFFFF"/>
        </w:rPr>
        <w:t>1、shí 、sī 、shī 、shǐ sì lǎo shī ，tiān tiān hé wǒ zài yī qǐ 。shí lǎo shī jiāo wǒ dà gōng wú sī ，sī lǎo shī gěi wǒ jīng shén shí liáng ，shī lǎo shī jiào wǒ yù shì sān sī ，shǐ lǎo shī sòng wǒ zhī shí yào shí 。wǒ gǎn xiè shí 、sī 、shī shǐ sì lǎo shī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left="192" w:right="192"/>
        <w:rPr>
          <w:rFonts w:hint="default" w:ascii="PingFangTC-light" w:hAnsi="PingFangTC-light" w:eastAsia="PingFangTC-light" w:cs="PingFangTC-light"/>
          <w:color w:val="3E3E3E"/>
          <w:spacing w:val="12"/>
          <w:sz w:val="16"/>
          <w:szCs w:val="16"/>
        </w:rPr>
      </w:pPr>
      <w:r>
        <w:rPr>
          <w:rFonts w:hint="default" w:ascii="PingFangTC-light" w:hAnsi="PingFangTC-light" w:eastAsia="PingFangTC-light" w:cs="PingFangTC-light"/>
          <w:i w:val="0"/>
          <w:iCs w:val="0"/>
          <w:caps w:val="0"/>
          <w:color w:val="3E3E3E"/>
          <w:spacing w:val="12"/>
          <w:sz w:val="16"/>
          <w:szCs w:val="16"/>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left="192" w:right="192"/>
        <w:rPr>
          <w:rFonts w:hint="default" w:ascii="PingFangTC-light" w:hAnsi="PingFangTC-light" w:eastAsia="PingFangTC-light" w:cs="PingFangTC-light"/>
          <w:color w:val="3E3E3E"/>
          <w:spacing w:val="12"/>
          <w:sz w:val="16"/>
          <w:szCs w:val="16"/>
        </w:rPr>
      </w:pPr>
      <w:r>
        <w:rPr>
          <w:rFonts w:hint="default" w:ascii="PingFangTC-light" w:hAnsi="PingFangTC-light" w:eastAsia="PingFangTC-light" w:cs="PingFangTC-light"/>
          <w:i w:val="0"/>
          <w:iCs w:val="0"/>
          <w:caps w:val="0"/>
          <w:color w:val="3E3E3E"/>
          <w:spacing w:val="12"/>
          <w:sz w:val="16"/>
          <w:szCs w:val="16"/>
          <w:bdr w:val="none" w:color="auto" w:sz="0" w:space="0"/>
          <w:shd w:val="clear" w:fill="FFFFFF"/>
        </w:rPr>
        <w:t>2、黑是黑，灰是灰，黑不是灰，灰不是黑，煤是黑，石是灰，烧过变成灰，石涂上墨变了黑。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left="192" w:right="192"/>
        <w:rPr>
          <w:rFonts w:hint="default" w:ascii="PingFangTC-light" w:hAnsi="PingFangTC-light" w:eastAsia="PingFangTC-light" w:cs="PingFangTC-light"/>
          <w:color w:val="3E3E3E"/>
          <w:spacing w:val="12"/>
          <w:sz w:val="16"/>
          <w:szCs w:val="16"/>
        </w:rPr>
      </w:pPr>
      <w:r>
        <w:rPr>
          <w:rFonts w:hint="default" w:ascii="PingFangTC-light" w:hAnsi="PingFangTC-light" w:eastAsia="PingFangTC-light" w:cs="PingFangTC-light"/>
          <w:i w:val="0"/>
          <w:iCs w:val="0"/>
          <w:caps w:val="0"/>
          <w:color w:val="7B7F83"/>
          <w:spacing w:val="12"/>
          <w:sz w:val="14"/>
          <w:szCs w:val="14"/>
          <w:bdr w:val="none" w:color="auto" w:sz="0" w:space="0"/>
          <w:shd w:val="clear" w:fill="FFFFFF"/>
        </w:rPr>
        <w:t>2、hēi shì hēi ，huī shì huī ，hēi bú shì huī ，huī bú shì hēi ，méi shì hēi ，shí shì huī ，shāo guò biàn chéng huī ，shí tú shàng mò biàn le hēi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68" w:lineRule="atLeast"/>
        <w:ind w:left="192" w:right="192"/>
        <w:rPr>
          <w:rFonts w:hint="default" w:ascii="PingFangTC-light" w:hAnsi="PingFangTC-light" w:eastAsia="PingFangTC-light" w:cs="PingFangTC-light"/>
          <w:color w:val="3E3E3E"/>
          <w:spacing w:val="12"/>
          <w:sz w:val="16"/>
          <w:szCs w:val="16"/>
        </w:rPr>
      </w:pPr>
      <w:r>
        <w:rPr>
          <w:rFonts w:hint="default" w:ascii="PingFangTC-light" w:hAnsi="PingFangTC-light" w:eastAsia="PingFangTC-light" w:cs="PingFangTC-light"/>
          <w:i w:val="0"/>
          <w:iCs w:val="0"/>
          <w:caps w:val="0"/>
          <w:color w:val="3E3E3E"/>
          <w:spacing w:val="12"/>
          <w:sz w:val="16"/>
          <w:szCs w:val="16"/>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68" w:lineRule="atLeast"/>
        <w:ind w:left="192" w:right="192"/>
        <w:rPr>
          <w:rFonts w:hint="default" w:ascii="PingFangTC-light" w:hAnsi="PingFangTC-light" w:eastAsia="PingFangTC-light" w:cs="PingFangTC-light"/>
          <w:color w:val="3E3E3E"/>
          <w:spacing w:val="12"/>
          <w:sz w:val="16"/>
          <w:szCs w:val="16"/>
        </w:rPr>
      </w:pPr>
      <w:r>
        <w:rPr>
          <w:rFonts w:hint="default" w:ascii="PingFangTC-light" w:hAnsi="PingFangTC-light" w:eastAsia="PingFangTC-light" w:cs="PingFangTC-light"/>
          <w:i w:val="0"/>
          <w:iCs w:val="0"/>
          <w:caps w:val="0"/>
          <w:color w:val="3E3E3E"/>
          <w:spacing w:val="12"/>
          <w:sz w:val="16"/>
          <w:szCs w:val="16"/>
          <w:bdr w:val="none" w:color="auto" w:sz="0" w:space="0"/>
          <w:shd w:val="clear" w:fill="FFFFFF"/>
        </w:rPr>
        <w:t>3、公园里面碰碰船，坐着兰兰和南南，南南开船碰兰兰，兰兰开船躲南南。兰兰南南碰一起，乐坏了南南和兰兰。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left="192" w:right="192"/>
        <w:rPr>
          <w:rFonts w:hint="default" w:ascii="PingFangTC-light" w:hAnsi="PingFangTC-light" w:eastAsia="PingFangTC-light" w:cs="PingFangTC-light"/>
          <w:color w:val="3E3E3E"/>
          <w:spacing w:val="12"/>
          <w:sz w:val="16"/>
          <w:szCs w:val="16"/>
        </w:rPr>
      </w:pPr>
      <w:r>
        <w:rPr>
          <w:rFonts w:hint="default" w:ascii="PingFangTC-light" w:hAnsi="PingFangTC-light" w:eastAsia="PingFangTC-light" w:cs="PingFangTC-light"/>
          <w:i w:val="0"/>
          <w:iCs w:val="0"/>
          <w:caps w:val="0"/>
          <w:color w:val="7B7F83"/>
          <w:spacing w:val="12"/>
          <w:sz w:val="14"/>
          <w:szCs w:val="14"/>
          <w:bdr w:val="none" w:color="auto" w:sz="0" w:space="0"/>
          <w:shd w:val="clear" w:fill="FFFFFF"/>
        </w:rPr>
        <w:t>3、gōng yuán lǐ miàn pèng pèng chuán ，zuò zhe lán lán hé nán nán ，nán nán kāi chuán pèng lán lán ，lán lán kāi chuán duǒ nán nán lán lán nán nán pèng yī qǐ ，lè huài le nán nán hé lán lán 。</w:t>
      </w:r>
    </w:p>
    <w:p>
      <w:pPr>
        <w:keepNext w:val="0"/>
        <w:keepLines w:val="0"/>
        <w:widowControl/>
        <w:suppressLineNumbers w:val="0"/>
        <w:spacing w:before="0" w:beforeAutospacing="0" w:after="0" w:afterAutospacing="0"/>
        <w:ind w:left="0" w:right="0"/>
        <w:jc w:val="left"/>
      </w:pPr>
      <w:r>
        <w:rPr>
          <w:rStyle w:val="9"/>
          <w:rFonts w:hint="default" w:ascii="Helvetica" w:hAnsi="Helvetica" w:eastAsia="Helvetica" w:cs="Helvetica"/>
          <w:i w:val="0"/>
          <w:iCs w:val="0"/>
          <w:caps w:val="0"/>
          <w:color w:val="D92142"/>
          <w:spacing w:val="12"/>
          <w:kern w:val="0"/>
          <w:sz w:val="20"/>
          <w:szCs w:val="20"/>
          <w:bdr w:val="none" w:color="auto" w:sz="0" w:space="0"/>
          <w:shd w:val="clear" w:fill="FFFFFF"/>
          <w:lang w:val="en-US" w:eastAsia="zh-CN" w:bidi="ar"/>
        </w:rPr>
        <w:t>《新闻联播》节选练习</w:t>
      </w:r>
      <w:r>
        <w:rPr>
          <w:rFonts w:hint="default" w:ascii="Helvetica" w:hAnsi="Helvetica" w:eastAsia="Helvetica" w:cs="Helvetica"/>
          <w:i w:val="0"/>
          <w:iCs w:val="0"/>
          <w:caps w:val="0"/>
          <w:color w:val="D92142"/>
          <w:spacing w:val="12"/>
          <w:kern w:val="0"/>
          <w:sz w:val="19"/>
          <w:szCs w:val="19"/>
          <w:bdr w:val="none" w:color="auto" w:sz="0" w:space="0"/>
          <w:shd w:val="clear" w:fill="FFFFFF"/>
          <w:lang w:val="en-US" w:eastAsia="zh-CN" w:bidi="ar"/>
        </w:rPr>
        <w:drawing>
          <wp:inline distT="0" distB="0" distL="114300" distR="114300">
            <wp:extent cx="3810000" cy="571500"/>
            <wp:effectExtent l="0" t="0" r="0" b="762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810000" cy="571500"/>
                    </a:xfrm>
                    <a:prstGeom prst="rect">
                      <a:avLst/>
                    </a:prstGeom>
                    <a:noFill/>
                    <a:ln w="9525">
                      <a:noFill/>
                    </a:ln>
                  </pic:spPr>
                </pic:pic>
              </a:graphicData>
            </a:graphic>
          </wp:inline>
        </w:drawing>
      </w:r>
      <w:r>
        <w:rPr>
          <w:rFonts w:hint="default" w:ascii="Helvetica" w:hAnsi="Helvetica" w:eastAsia="Helvetica" w:cs="Helvetica"/>
          <w:i w:val="0"/>
          <w:iCs w:val="0"/>
          <w:caps w:val="0"/>
          <w:color w:val="000000"/>
          <w:spacing w:val="12"/>
          <w:kern w:val="0"/>
          <w:sz w:val="19"/>
          <w:szCs w:val="19"/>
          <w:bdr w:val="none" w:color="auto" w:sz="0" w:space="0"/>
          <w:shd w:val="clear" w:fill="FFFFFF"/>
          <w:lang w:val="en-US" w:eastAsia="zh-CN" w:bidi="ar"/>
        </w:rPr>
        <w:t>自3月初疫情暴发以来，吉林省坚持“动态清零”总方针，之前疫情较为严重的吉林市和长春市九台区这两天已先后实现社会面清零，生产生活秩序正分区分类分梯次有序恢复。 4月10日，又一批500多名因疫情滞留在吉林市的农民转运回乡投入春耕。目前，吉林全省已有8万多名符合疫情防控政策的滞留农民返乡。同时，全省的水稻种子也已到户99.2%，已完成育秧播种面积49.7%。 今天，本轮疫情严重的长春市九台区第一批5家企业在疫情防控安全到位的前提下恢复生产。本轮最早发现疫情的吉林延边，294户规上工业企业，除8户季节性停产项目，也已全部复工。从今天起，延吉市恢复暂停20多天的农贸市场、综合商超、餐饮堂食等经营场所。昨天，吉林省累计出院确诊病例2.2万例，解除隔离医学观察无症状感染者超一万例。吉林省坚持“动态清零”总方针，下一步，将继续实施“分级分区、分类施策”的差异化防控政策，加快划定“无疫小区”。目前，吉林市“无疫小区”数量已增至170多个。目前，吉林省内多个城市派出的机关干部与当地党员志愿者继续携手，防止疫情出现反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0"/>
          <w:szCs w:val="0"/>
        </w:rPr>
      </w:pPr>
      <w:r>
        <w:rPr>
          <w:rFonts w:hint="default" w:ascii="Helvetica" w:hAnsi="Helvetica" w:eastAsia="Helvetica" w:cs="Helvetica"/>
          <w:i w:val="0"/>
          <w:iCs w:val="0"/>
          <w:caps w:val="0"/>
          <w:color w:val="000000"/>
          <w:spacing w:val="0"/>
          <w:kern w:val="0"/>
          <w:sz w:val="0"/>
          <w:szCs w:val="0"/>
          <w:bdr w:val="none" w:color="auto" w:sz="0" w:space="0"/>
          <w:shd w:val="clear" w:fill="FFFFFF"/>
          <w:lang w:val="en-US" w:eastAsia="zh-CN" w:bidi="ar"/>
        </w:rPr>
        <w:t> </w:t>
      </w:r>
    </w:p>
    <w:p>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31CDD"/>
    <w:rsid w:val="6BD31CDD"/>
    <w:rsid w:val="7E19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2022-08-21T10:18:00Z</dcterms:created>
  <dc:creator>陈迈骐</dc:creator>
  <cp:lastModifiedBy>陈迈骐</cp:lastModifiedBy>
  <dcterms:modified xsi:type="dcterms:W3CDTF">2022-08-21T10:20:17Z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C9F5B3FCBD454547870D07D2655DBE76</vt:lpwstr>
  </property>
</Properties>
</file>