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  <w:r>
        <w:rPr>
          <w:rStyle w:val="7"/>
          <w:rFonts w:ascii="宋体" w:hAnsi="宋体" w:eastAsia="宋体" w:cs="宋体"/>
          <w:color w:val="D92142"/>
          <w:sz w:val="20"/>
          <w:szCs w:val="20"/>
        </w:rPr>
        <w:t>字词练习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功能（ɡōnɡ nénɡ）状元（zhuànɡ yuán）然而（rán ér）    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彼此（bǐ cǐ）恰如(qià rú)培育（péi yù）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丰硕（fēnɡ shuò）酒盅（jiǔ zhōnɡ）红火（hónɡ huǒ）  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迫使（pò shǐ）油田（yóu tián）群体（qún tǐ）上课（shànɡ kè） 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贫穷（pín qiónɡ）牛顿（niú dùn）撒谎（sā huǎnɡ）</w:t>
      </w:r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  <w:bookmarkStart w:id="0" w:name="_GoBack"/>
      <w:bookmarkEnd w:id="0"/>
    </w:p>
    <w:p>
      <w:pPr>
        <w:jc w:val="center"/>
        <w:rPr>
          <w:rStyle w:val="7"/>
          <w:rFonts w:ascii="宋体" w:hAnsi="宋体" w:eastAsia="宋体" w:cs="宋体"/>
          <w:color w:val="D92142"/>
          <w:sz w:val="20"/>
          <w:szCs w:val="20"/>
        </w:rPr>
      </w:pPr>
      <w:r>
        <w:rPr>
          <w:rStyle w:val="7"/>
          <w:rFonts w:ascii="宋体" w:hAnsi="宋体" w:eastAsia="宋体" w:cs="宋体"/>
          <w:color w:val="D92142"/>
          <w:sz w:val="20"/>
          <w:szCs w:val="20"/>
        </w:rPr>
        <w:t>《新闻联播》节选练习</w:t>
      </w:r>
    </w:p>
    <w:p>
      <w:r>
        <w:rPr>
          <w:rFonts w:ascii="宋体" w:hAnsi="宋体" w:eastAsia="宋体" w:cs="宋体"/>
          <w:sz w:val="24"/>
          <w:szCs w:val="24"/>
        </w:rPr>
        <w:t>清明时节，正是草木萌生、花开烂漫的时节，人们走出家门尽享美丽春光，赞叹好生态，感受好生活。春和景明，满目新绿。在陕西镇安，这里是我国北方保存最完整的野生杜鹃林，每年4—5月花开正盛，在山间绵延数公里美不胜收。在西藏林芝嘎拉村，上千棵桃树竞相绽放，游客置身桃花林中还能体验工布响箭等非遗文化的魅力。在湖北武汉，市民畅游花海，品种繁多的晚樱观赏期可持续一个月。在河南西峡，各种山花绚丽多姿，春意融融。在江西萍乡，这里曾是煤矿沉陷区，当地下大力气对沉陷区进行生态修复。如今，煤矸石山转变为百花山，成为当地旅游热门打卡地。四川达州莲花湖库区，原本养殖网箱遍布，环境脏乱差，当地在城市公园建设中对库区进行综合整治，重现水清岸绿的景象。目前，像这样的城市公园达州市区已经有60多个，“300米见绿、500米入园”，让市民在家门口就能享受生态红利。在广西南宁，随着邕江沿岸整治完成，沿江两岸吸引了众多市民前来休闲、露营。清明小长假，乡村休闲游受青睐。在贵州印江，茶园里四通八达的产业路串起了自然观光、民俗体验项目，特色产业与乡村旅游的融合绘就了春日里的美丽田园画卷。重庆今年春天推出81条乡村游线路，市民踏青赏花，体验美丽乡村建设。在璧山的万亩茶园，不少游客带着孩子一起体验采茶制茶，享受亲子互动的美好时光。这个假期，北京居庸关长城景区按照单日游客最大承载量的75%进行预约售票，建立疫情防控预警机制，营造安全有序的游览环境。安徽九华山采取“限量、预约、错峰”等措施，在做好疫情防控的同时，让游客踏青赏花，饱览美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-448945</wp:posOffset>
          </wp:positionH>
          <wp:positionV relativeFrom="margin">
            <wp:posOffset>1345565</wp:posOffset>
          </wp:positionV>
          <wp:extent cx="6469380" cy="6469380"/>
          <wp:effectExtent l="0" t="0" r="7620" b="7620"/>
          <wp:wrapNone/>
          <wp:docPr id="4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3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57322"/>
    <w:rsid w:val="4B557322"/>
    <w:rsid w:val="6D6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2022-08-21T10:19:00Z</dcterms:created>
  <dc:creator>陈迈骐</dc:creator>
  <cp:lastModifiedBy>陈迈骐</cp:lastModifiedBy>
  <dcterms:modified xsi:type="dcterms:W3CDTF">2022-08-26T09:15:39Z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750002E554604DACAB9EC05BE103AB4E</vt:lpwstr>
  </property>
</Properties>
</file>