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绕口令练习</w:t>
      </w:r>
    </w:p>
    <w:p>
      <w:pPr>
        <w:numPr>
          <w:ilvl w:val="0"/>
          <w:numId w:val="1"/>
        </w:numPr>
        <w:rPr>
          <w:rFonts w:hint="eastAsia" w:ascii="楷体" w:hAnsi="楷体" w:eastAsia="楷体" w:cs="楷体"/>
          <w:color w:val="7B7F83"/>
          <w:sz w:val="24"/>
          <w:szCs w:val="24"/>
        </w:rPr>
      </w:pPr>
      <w:bookmarkStart w:id="0" w:name="_GoBack"/>
      <w:r>
        <w:rPr>
          <w:rFonts w:hint="eastAsia" w:ascii="楷体" w:hAnsi="楷体" w:eastAsia="楷体" w:cs="楷体"/>
          <w:sz w:val="24"/>
          <w:szCs w:val="24"/>
        </w:rPr>
        <w:t>北边来了一个瘸子背着一捆橛子。南边来了一个瘸子背着一筐茄子。背橛子</w:t>
      </w:r>
      <w:bookmarkEnd w:id="0"/>
      <w:r>
        <w:rPr>
          <w:rFonts w:hint="eastAsia" w:ascii="楷体" w:hAnsi="楷体" w:eastAsia="楷体" w:cs="楷体"/>
          <w:sz w:val="24"/>
          <w:szCs w:val="24"/>
        </w:rPr>
        <w:t>的瘸子打了背茄子的瘸子一橛子背茄子的瘸子打了背橛子的瘸子一茄子。</w:t>
      </w:r>
    </w:p>
    <w:p>
      <w:pPr>
        <w:numPr>
          <w:numId w:val="0"/>
        </w:numPr>
        <w:rPr>
          <w:rFonts w:hint="eastAsia" w:ascii="楷体" w:hAnsi="楷体" w:eastAsia="楷体" w:cs="楷体"/>
          <w:color w:val="7B7F83"/>
          <w:sz w:val="24"/>
          <w:szCs w:val="24"/>
        </w:rPr>
      </w:pPr>
      <w:r>
        <w:rPr>
          <w:rFonts w:hint="eastAsia" w:ascii="楷体" w:hAnsi="楷体" w:eastAsia="楷体" w:cs="楷体"/>
          <w:color w:val="7B7F83"/>
          <w:sz w:val="24"/>
          <w:szCs w:val="24"/>
        </w:rPr>
        <w:t>1、běi biān lái le yī gè qué zǐ bēi zhe yī kǔn jué zǐ 。nán biān lái le yī gè qué zǐ b</w:t>
      </w:r>
      <w:r>
        <w:rPr>
          <w:rFonts w:hint="eastAsia" w:ascii="楷体" w:hAnsi="楷体" w:eastAsia="楷体" w:cs="楷体"/>
          <w:color w:val="7B7F83"/>
          <w:spacing w:val="12"/>
          <w:sz w:val="24"/>
          <w:szCs w:val="24"/>
          <w:shd w:val="clear" w:fill="FFFFFF"/>
        </w:rPr>
        <w:t>ē</w:t>
      </w:r>
      <w:r>
        <w:rPr>
          <w:rFonts w:hint="eastAsia" w:ascii="楷体" w:hAnsi="楷体" w:eastAsia="楷体" w:cs="楷体"/>
          <w:color w:val="7B7F83"/>
          <w:sz w:val="24"/>
          <w:szCs w:val="24"/>
        </w:rPr>
        <w:t>i zhe yī kuāng qié zǐ 。b</w:t>
      </w:r>
      <w:r>
        <w:rPr>
          <w:rFonts w:hint="eastAsia" w:ascii="楷体" w:hAnsi="楷体" w:eastAsia="楷体" w:cs="楷体"/>
          <w:color w:val="7B7F83"/>
          <w:spacing w:val="12"/>
          <w:sz w:val="24"/>
          <w:szCs w:val="24"/>
          <w:shd w:val="clear" w:fill="FFFFFF"/>
        </w:rPr>
        <w:t>ē</w:t>
      </w:r>
      <w:r>
        <w:rPr>
          <w:rFonts w:hint="eastAsia" w:ascii="楷体" w:hAnsi="楷体" w:eastAsia="楷体" w:cs="楷体"/>
          <w:color w:val="7B7F83"/>
          <w:sz w:val="24"/>
          <w:szCs w:val="24"/>
        </w:rPr>
        <w:t>i jué zǐ de qué zǐ dǎ le b</w:t>
      </w:r>
      <w:r>
        <w:rPr>
          <w:rFonts w:hint="eastAsia" w:ascii="楷体" w:hAnsi="楷体" w:eastAsia="楷体" w:cs="楷体"/>
          <w:color w:val="7B7F83"/>
          <w:spacing w:val="12"/>
          <w:sz w:val="24"/>
          <w:szCs w:val="24"/>
          <w:shd w:val="clear" w:fill="FFFFFF"/>
        </w:rPr>
        <w:t>ē</w:t>
      </w:r>
      <w:r>
        <w:rPr>
          <w:rFonts w:hint="eastAsia" w:ascii="楷体" w:hAnsi="楷体" w:eastAsia="楷体" w:cs="楷体"/>
          <w:color w:val="7B7F83"/>
          <w:sz w:val="24"/>
          <w:szCs w:val="24"/>
        </w:rPr>
        <w:t>i qié zǐ de qué zǐ yī jué zǐ b</w:t>
      </w:r>
      <w:r>
        <w:rPr>
          <w:rFonts w:hint="eastAsia" w:ascii="楷体" w:hAnsi="楷体" w:eastAsia="楷体" w:cs="楷体"/>
          <w:color w:val="7B7F83"/>
          <w:spacing w:val="12"/>
          <w:sz w:val="24"/>
          <w:szCs w:val="24"/>
          <w:shd w:val="clear" w:fill="FFFFFF"/>
        </w:rPr>
        <w:t>ē</w:t>
      </w:r>
      <w:r>
        <w:rPr>
          <w:rFonts w:hint="eastAsia" w:ascii="楷体" w:hAnsi="楷体" w:eastAsia="楷体" w:cs="楷体"/>
          <w:color w:val="7B7F83"/>
          <w:sz w:val="24"/>
          <w:szCs w:val="24"/>
        </w:rPr>
        <w:t>i qié zǐ de qué zǐ dǎ le b</w:t>
      </w:r>
      <w:r>
        <w:rPr>
          <w:rFonts w:hint="eastAsia" w:ascii="楷体" w:hAnsi="楷体" w:eastAsia="楷体" w:cs="楷体"/>
          <w:color w:val="7B7F83"/>
          <w:spacing w:val="12"/>
          <w:sz w:val="24"/>
          <w:szCs w:val="24"/>
          <w:shd w:val="clear" w:fill="FFFFFF"/>
        </w:rPr>
        <w:t>ē</w:t>
      </w:r>
      <w:r>
        <w:rPr>
          <w:rFonts w:hint="eastAsia" w:ascii="楷体" w:hAnsi="楷体" w:eastAsia="楷体" w:cs="楷体"/>
          <w:color w:val="7B7F83"/>
          <w:sz w:val="24"/>
          <w:szCs w:val="24"/>
        </w:rPr>
        <w:t>i jué zǐ de qué zǐ yī qié zǐ 。 </w:t>
      </w:r>
    </w:p>
    <w:p>
      <w:pPr>
        <w:numPr>
          <w:numId w:val="0"/>
        </w:numPr>
        <w:rPr>
          <w:rFonts w:hint="eastAsia" w:ascii="楷体" w:hAnsi="楷体" w:eastAsia="楷体" w:cs="楷体"/>
          <w:sz w:val="24"/>
          <w:szCs w:val="24"/>
        </w:rPr>
      </w:pPr>
      <w:r>
        <w:rPr>
          <w:rFonts w:hint="eastAsia" w:ascii="楷体" w:hAnsi="楷体" w:eastAsia="楷体" w:cs="楷体"/>
          <w:sz w:val="24"/>
          <w:szCs w:val="24"/>
        </w:rPr>
        <w:t>2、嘴说腿，腿说嘴，嘴说腿爱跑腿，腿说嘴爱卖嘴。光动嘴不动腿，光动腿不动嘴，不如不长腿和嘴</w:t>
      </w:r>
    </w:p>
    <w:p>
      <w:pPr>
        <w:numPr>
          <w:numId w:val="0"/>
        </w:numPr>
        <w:rPr>
          <w:rFonts w:hint="eastAsia" w:ascii="楷体" w:hAnsi="楷体" w:eastAsia="楷体" w:cs="楷体"/>
          <w:color w:val="7B7F83"/>
          <w:sz w:val="24"/>
          <w:szCs w:val="24"/>
        </w:rPr>
      </w:pPr>
      <w:r>
        <w:rPr>
          <w:rFonts w:hint="eastAsia" w:ascii="楷体" w:hAnsi="楷体" w:eastAsia="楷体" w:cs="楷体"/>
          <w:color w:val="7B7F83"/>
          <w:sz w:val="24"/>
          <w:szCs w:val="24"/>
        </w:rPr>
        <w:t>2、zuǐ shuō tuǐ ，tuǐ shuō zuǐ ，zuǐ shuō tuǐ ài pǎo tuǐ ，tuǐ shuō zuǐ ài mài zuǐ 。guāng dòng zuǐ bú dòng tuǐ ，guāng dòng tuǐ bú dòng zuǐ ，bú rú bú zhǎng tuǐ hé zuǐ 。</w:t>
      </w:r>
    </w:p>
    <w:p>
      <w:pPr>
        <w:numPr>
          <w:numId w:val="0"/>
        </w:numPr>
        <w:rPr>
          <w:rFonts w:hint="eastAsia" w:ascii="楷体" w:hAnsi="楷体" w:eastAsia="楷体" w:cs="楷体"/>
          <w:sz w:val="24"/>
          <w:szCs w:val="24"/>
        </w:rPr>
      </w:pPr>
      <w:r>
        <w:rPr>
          <w:rFonts w:hint="eastAsia" w:ascii="楷体" w:hAnsi="楷体" w:eastAsia="楷体" w:cs="楷体"/>
          <w:sz w:val="24"/>
          <w:szCs w:val="24"/>
        </w:rPr>
        <w:t>3、板凳宽，扁担长。扁担没有板凳宽，板凳没有扁担长。扁担要绑在板凳上，板凳不让扁担绑在板凳上，扁担偏要扁担绑在板凳上。</w:t>
      </w:r>
    </w:p>
    <w:p>
      <w:pPr>
        <w:numPr>
          <w:numId w:val="0"/>
        </w:numPr>
        <w:jc w:val="center"/>
        <w:rPr>
          <w:rFonts w:hint="eastAsia" w:ascii="楷体" w:hAnsi="楷体" w:eastAsia="楷体" w:cs="楷体"/>
          <w:color w:val="7B7F83"/>
          <w:sz w:val="24"/>
          <w:szCs w:val="24"/>
        </w:rPr>
      </w:pPr>
      <w:r>
        <w:rPr>
          <w:rFonts w:hint="eastAsia" w:ascii="楷体" w:hAnsi="楷体" w:eastAsia="楷体" w:cs="楷体"/>
          <w:color w:val="7B7F83"/>
          <w:sz w:val="24"/>
          <w:szCs w:val="24"/>
        </w:rPr>
        <w:t>3、bǎn dèng kuān ，biǎn dān cháng 。biǎn dān méi yǒu bǎn dèng kuān ，bǎn dèng méi yǒu biǎn dān cháng 。biǎn dān yào bǎng zài bǎn dèng shàng ，bǎn dèng bú ràng biǎn dān bǎng zài bǎn dèng shàng ，biǎn dān piān yào biǎn dān bǎng zài bǎn dèng shàng 。</w:t>
      </w:r>
    </w:p>
    <w:p>
      <w:pPr>
        <w:numPr>
          <w:numId w:val="0"/>
        </w:numPr>
        <w:jc w:val="center"/>
        <w:rPr>
          <w:rFonts w:hint="eastAsia" w:ascii="楷体" w:hAnsi="楷体" w:eastAsia="楷体" w:cs="楷体"/>
          <w:color w:val="7B7F83"/>
          <w:sz w:val="24"/>
          <w:szCs w:val="24"/>
        </w:rPr>
      </w:pPr>
    </w:p>
    <w:p>
      <w:pPr>
        <w:numPr>
          <w:numId w:val="0"/>
        </w:numPr>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《新闻联播》节选练习</w:t>
      </w:r>
    </w:p>
    <w:p>
      <w:pPr>
        <w:numPr>
          <w:numId w:val="0"/>
        </w:numPr>
        <w:rPr>
          <w:rFonts w:hint="eastAsia" w:ascii="楷体" w:hAnsi="楷体" w:eastAsia="楷体" w:cs="楷体"/>
          <w:sz w:val="24"/>
          <w:szCs w:val="24"/>
        </w:rPr>
      </w:pPr>
      <w:r>
        <w:rPr>
          <w:rFonts w:hint="eastAsia" w:ascii="楷体" w:hAnsi="楷体" w:eastAsia="楷体" w:cs="楷体"/>
          <w:sz w:val="24"/>
          <w:szCs w:val="24"/>
        </w:rPr>
        <w:t>联合国人权理事会第49届会议于2月28日至4月1日在瑞士日内瓦召开，多家国内社会组织以线上方式参会，分享中国观点和主张。中国人民对外友好协会会长林松添发言表示，中国始终坚持以人民为中心的人权理念，切实维护人民的生存权和生命健康权，历史性解决了绝对贫困问题，推进本国人权发展的同时也为世界人权发展作出重要贡献。中国人权研究会多位代表发言指出，新冠肺炎疫情仍是当今世界人民面临的共同挑战，以美国为代表的部分发达国家的亚裔、非洲裔、拉丁裔等少数群体是受到冲击最严重的群体，部分国家的种族仇恨事件大幅上升。这些国家不思积极改善自身社会问题，反而以所谓人权问题炮制谎言，并借此干涉他国内政，动辄制裁他国政府、实体和个人。这种行径与全人类促进和发展人权的初衷背道而驰。来自中国藏学研究中心、中国少数民族对外交流协会等社会组织的代表结合自身经历，介绍新疆、西藏经济社会发展、民族文化保护以及打击恐怖主义、极端主义情况，用事实和数据驳斥美西方制造的涉疆、涉藏谎言、谣言。中国人权发展基金会、友成企业家扶贫基金会、中国西藏文化保护与发展协会等10余家社会组织也踊跃参会并就相关议题发言。</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BF02EF"/>
    <w:multiLevelType w:val="singleLevel"/>
    <w:tmpl w:val="DCBF02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B038E"/>
    <w:rsid w:val="056A19CE"/>
    <w:rsid w:val="4E9B038E"/>
    <w:rsid w:val="6D05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2022-08-21T10:20:00Z</dcterms:created>
  <dc:creator>陈迈骐</dc:creator>
  <cp:lastModifiedBy>陈迈骐</cp:lastModifiedBy>
  <dcterms:modified xsi:type="dcterms:W3CDTF">2022-08-26T09:19:32Z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E4447BE8F6BC445D9B8035EE076FCB60</vt:lpwstr>
  </property>
</Properties>
</file>