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绕口令练习</w:t>
      </w:r>
    </w:p>
    <w:p>
      <w:pPr>
        <w:keepNext w:val="0"/>
        <w:keepLines w:val="0"/>
        <w:widowControl/>
        <w:numPr>
          <w:ilvl w:val="0"/>
          <w:numId w:val="1"/>
        </w:numPr>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老唐端蛋汤，踏凳登宝塔，只因凳太滑，汤洒汤烫塔。</w:t>
      </w:r>
    </w:p>
    <w:p>
      <w:pPr>
        <w:keepNext w:val="0"/>
        <w:keepLines w:val="0"/>
        <w:widowControl/>
        <w:numPr>
          <w:ilvl w:val="0"/>
          <w:numId w:val="2"/>
        </w:numPr>
        <w:suppressLineNumbers w:val="0"/>
        <w:jc w:val="left"/>
        <w:rPr>
          <w:rFonts w:hint="eastAsia" w:ascii="楷体" w:hAnsi="楷体" w:eastAsia="楷体" w:cs="楷体"/>
          <w:color w:val="7B7F83"/>
          <w:kern w:val="0"/>
          <w:sz w:val="24"/>
          <w:szCs w:val="24"/>
          <w:lang w:val="en-US" w:eastAsia="zh-CN" w:bidi="ar"/>
        </w:rPr>
      </w:pPr>
      <w:r>
        <w:rPr>
          <w:rFonts w:hint="eastAsia" w:ascii="楷体" w:hAnsi="楷体" w:eastAsia="楷体" w:cs="楷体"/>
          <w:color w:val="7B7F83"/>
          <w:kern w:val="0"/>
          <w:sz w:val="24"/>
          <w:szCs w:val="24"/>
          <w:lang w:val="en-US" w:eastAsia="zh-CN" w:bidi="ar"/>
        </w:rPr>
        <w:t>lǎo táng duān dàn tāng ，tà dèng dēng bǎo tǎ ，zhī yīn dèng tài huá ，tāng sǎ tāng tàng tǎ 。</w:t>
      </w:r>
    </w:p>
    <w:p>
      <w:pPr>
        <w:keepNext w:val="0"/>
        <w:keepLines w:val="0"/>
        <w:widowControl/>
        <w:numPr>
          <w:ilvl w:val="0"/>
          <w:numId w:val="2"/>
        </w:numPr>
        <w:suppressLineNumbers w:val="0"/>
        <w:ind w:left="0" w:leftChars="0" w:firstLine="0" w:firstLineChars="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小王的姜撞翻老杨的缸，老杨的缸碰倒小王的姜。小王放下姜去扶老杨的缸，老杨放下缸去帮小王装姜。</w:t>
      </w:r>
    </w:p>
    <w:p>
      <w:pPr>
        <w:keepNext w:val="0"/>
        <w:keepLines w:val="0"/>
        <w:widowControl/>
        <w:numPr>
          <w:numId w:val="0"/>
        </w:numPr>
        <w:suppressLineNumbers w:val="0"/>
        <w:ind w:leftChars="0"/>
        <w:jc w:val="left"/>
        <w:rPr>
          <w:rFonts w:hint="eastAsia" w:ascii="楷体" w:hAnsi="楷体" w:eastAsia="楷体" w:cs="楷体"/>
          <w:color w:val="3E3E3E"/>
          <w:spacing w:val="12"/>
          <w:sz w:val="24"/>
          <w:szCs w:val="24"/>
        </w:rPr>
      </w:pPr>
      <w:r>
        <w:rPr>
          <w:rFonts w:hint="eastAsia" w:ascii="楷体" w:hAnsi="楷体" w:eastAsia="楷体" w:cs="楷体"/>
          <w:color w:val="7B7F83"/>
          <w:kern w:val="0"/>
          <w:sz w:val="24"/>
          <w:szCs w:val="24"/>
          <w:lang w:val="en-US" w:eastAsia="zh-CN" w:bidi="ar"/>
        </w:rPr>
        <w:t>2、xiǎo wáng de jiāng zhuàng fān lǎo yáng de gāng ，lǎo yáng de gāng pèng dǎo xiǎo wáng de jiāng 。xiǎo wáng fàng xià jiāng qù fú lǎo yáng de gāng ，lǎo yáng fàng xià gāng qù bāng xiǎo wáng zhuāng jiāng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192"/>
        <w:jc w:val="left"/>
        <w:rPr>
          <w:rFonts w:hint="eastAsia" w:ascii="楷体" w:hAnsi="楷体" w:eastAsia="楷体" w:cs="楷体"/>
          <w:color w:val="3E3E3E"/>
          <w:spacing w:val="12"/>
          <w:sz w:val="24"/>
          <w:szCs w:val="24"/>
        </w:rPr>
      </w:pPr>
      <w:r>
        <w:rPr>
          <w:rFonts w:hint="eastAsia" w:ascii="楷体" w:hAnsi="楷体" w:eastAsia="楷体" w:cs="楷体"/>
          <w:color w:val="3E3E3E"/>
          <w:spacing w:val="12"/>
          <w:sz w:val="24"/>
          <w:szCs w:val="24"/>
          <w:shd w:val="clear" w:fill="FFFFFF"/>
        </w:rPr>
        <w:t>3、楼上一块破瓦，楼下一匹骡马，破瓦落下来打了骡马，骡马跳起来踩了破瓦。 天上一颗星，地上一个人，星照人，人瞧星，星照不清人，人瞧不清星。 </w:t>
      </w:r>
    </w:p>
    <w:p>
      <w:pPr>
        <w:keepNext w:val="0"/>
        <w:keepLines w:val="0"/>
        <w:widowControl/>
        <w:suppressLineNumbers w:val="0"/>
        <w:jc w:val="left"/>
        <w:rPr>
          <w:rFonts w:hint="eastAsia" w:ascii="楷体" w:hAnsi="楷体" w:eastAsia="楷体" w:cs="楷体"/>
          <w:color w:val="7B7F83"/>
          <w:kern w:val="0"/>
          <w:sz w:val="24"/>
          <w:szCs w:val="24"/>
          <w:lang w:val="en-US" w:eastAsia="zh-CN" w:bidi="ar"/>
        </w:rPr>
      </w:pPr>
      <w:r>
        <w:rPr>
          <w:rFonts w:hint="eastAsia" w:ascii="楷体" w:hAnsi="楷体" w:eastAsia="楷体" w:cs="楷体"/>
          <w:color w:val="7B7F83"/>
          <w:kern w:val="0"/>
          <w:sz w:val="24"/>
          <w:szCs w:val="24"/>
          <w:lang w:val="en-US" w:eastAsia="zh-CN" w:bidi="ar"/>
        </w:rPr>
        <w:t>3、lóu shàng yī kuài pò wǎ ，lóu xià yī pǐ luó mǎ ，pò wǎ luò xià lái dǎ le luó mǎ ，luó mǎ tiào qǐ lái cǎi le pò wǎ 。tiān shàng yī kē xīng ，dì shàng yī gè r</w:t>
      </w:r>
      <w:bookmarkStart w:id="0" w:name="_GoBack"/>
      <w:bookmarkEnd w:id="0"/>
      <w:r>
        <w:rPr>
          <w:rFonts w:hint="eastAsia" w:ascii="楷体" w:hAnsi="楷体" w:eastAsia="楷体" w:cs="楷体"/>
          <w:color w:val="7B7F83"/>
          <w:kern w:val="0"/>
          <w:sz w:val="24"/>
          <w:szCs w:val="24"/>
          <w:lang w:val="en-US" w:eastAsia="zh-CN" w:bidi="ar"/>
        </w:rPr>
        <w:t>én ，xīng zhào rén ，rén qiáo xīng ，xīng zhào bú qīng rén ，rén qiáo bú qīng xīng 。 </w:t>
      </w: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统筹疫情防控和经济社会发展，这段时间，各地一项项重大工程有序施工，一批批重点项目火热推进，带动扩大有效投资，推动经济高质量发展。强基础，利长远。在宁波舟山港，梅山港区6号至10号泊位实现联通，工程建设进入最后冲刺阶段。这是我国目前设计等级最高的集装箱码头，建成后，梅山港区年通过能力将超过1000万标准箱。在大连湾海底隧道施工现场，建设者们正在对首个安装完成的曲线管节进行检测。海底隧道全长5100米，目前，工程沉管总长度已经达到2443米，预计今年年底完工。在陕西，经过8小时连续奋战，西康高铁首孔箱梁完成浇筑，进入桥梁上部构造施工阶段。在内蒙古鄂尔多斯，工人们紧张有序施工，确保当地首个智慧陆港配套设施在4月初完成建设，实现煤炭运输年发运量500万吨。在甘肃庆阳，建设装机容量超过1000万千瓦的多能互补综合能源基地加快建设进度，项目新能源装机占比超过80%。稳投资，促增长。在青岛，一期投资81.7亿元的物联网移动显示端口器件项目从落地到开工建设仅用时45天，项目达产后将打破山东显示面板领域缺少龙头项目支撑的局面。在四川宜宾，动力电池超级工厂正在加紧建设，当地以锂电池产业为核心，预计全年新增产值15亿元以上；今年前两个月，四川700个重点项目完成投资1102亿元，占年度计划投资的17.3%。近日，广州242个重大项目集中开工，148个重大项目集中签约，涵盖新型基础设施、战略性新兴产业、现代服务业、社会民生等多个领域。在哈尔滨，82个大项目顺利开复工，“十四五”黑龙江将大力发展数字经济。在江西，14个城乡冷链物流项目集中开建；过去，生鲜农产品流通环节的损耗高达20%，冷链物流仓储的高效周转将增加农产品价值，带动农民增收。</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61312" behindDoc="1" locked="0" layoutInCell="1" allowOverlap="1">
          <wp:simplePos x="0" y="0"/>
          <wp:positionH relativeFrom="margin">
            <wp:posOffset>-448945</wp:posOffset>
          </wp:positionH>
          <wp:positionV relativeFrom="margin">
            <wp:posOffset>1345565</wp:posOffset>
          </wp:positionV>
          <wp:extent cx="6469380" cy="6469380"/>
          <wp:effectExtent l="0" t="0" r="7620" b="7620"/>
          <wp:wrapNone/>
          <wp:docPr id="4"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sz w:val="18"/>
      </w:rPr>
      <w:drawing>
        <wp:anchor distT="0" distB="0" distL="114300" distR="114300" simplePos="0" relativeHeight="251660288" behindDoc="1" locked="0" layoutInCell="1" allowOverlap="1">
          <wp:simplePos x="0" y="0"/>
          <wp:positionH relativeFrom="margin">
            <wp:posOffset>-448945</wp:posOffset>
          </wp:positionH>
          <wp:positionV relativeFrom="margin">
            <wp:posOffset>1345565</wp:posOffset>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3"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89A581"/>
    <w:multiLevelType w:val="singleLevel"/>
    <w:tmpl w:val="C389A581"/>
    <w:lvl w:ilvl="0" w:tentative="0">
      <w:start w:val="1"/>
      <w:numFmt w:val="decimal"/>
      <w:suff w:val="nothing"/>
      <w:lvlText w:val="%1、"/>
      <w:lvlJc w:val="left"/>
    </w:lvl>
  </w:abstractNum>
  <w:abstractNum w:abstractNumId="1">
    <w:nsid w:val="FC5BBA66"/>
    <w:multiLevelType w:val="singleLevel"/>
    <w:tmpl w:val="FC5BBA66"/>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12354"/>
    <w:rsid w:val="15F12354"/>
    <w:rsid w:val="3495317C"/>
    <w:rsid w:val="3C982E0A"/>
    <w:rsid w:val="5EDF7832"/>
    <w:rsid w:val="6F1057E5"/>
    <w:rsid w:val="6FA94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2022-08-21T10:22:00Z</dcterms:created>
  <dc:creator>陈迈骐</dc:creator>
  <cp:lastModifiedBy>陈迈骐</cp:lastModifiedBy>
  <dcterms:modified xsi:type="dcterms:W3CDTF">2022-08-27T09:48:07Z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F817A8CAC8B04D279AEDB5AF81E15028</vt:lpwstr>
  </property>
</Properties>
</file>