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CE8CD" w14:textId="114B0746" w:rsidR="005A7857" w:rsidRPr="005A7857" w:rsidRDefault="005A7857" w:rsidP="005A7857">
      <w:pPr>
        <w:ind w:left="720" w:hanging="360"/>
        <w:jc w:val="center"/>
        <w:rPr>
          <w:b/>
          <w:bCs/>
          <w:sz w:val="28"/>
          <w:szCs w:val="28"/>
        </w:rPr>
      </w:pPr>
      <w:r w:rsidRPr="005A7857">
        <w:rPr>
          <w:b/>
          <w:bCs/>
          <w:sz w:val="28"/>
          <w:szCs w:val="28"/>
        </w:rPr>
        <w:t>Chicago Insurance Redlining</w:t>
      </w:r>
    </w:p>
    <w:p w14:paraId="0662D097" w14:textId="77777777" w:rsidR="005A7857" w:rsidRPr="005A7857" w:rsidRDefault="005A7857" w:rsidP="005A7857">
      <w:pPr>
        <w:ind w:left="720" w:hanging="360"/>
        <w:jc w:val="center"/>
        <w:rPr>
          <w:b/>
          <w:bCs/>
        </w:rPr>
      </w:pPr>
    </w:p>
    <w:p w14:paraId="54BACDC2" w14:textId="17E8E143" w:rsidR="005A7857" w:rsidRDefault="005A7857" w:rsidP="005A7857">
      <w:pPr>
        <w:ind w:left="720"/>
      </w:pPr>
      <w:r>
        <w:t>A</w:t>
      </w:r>
      <w:r w:rsidRPr="005A7857">
        <w:t xml:space="preserve"> study of insurance availability in Chicago, the U.S. Commission on Civil Rights attempted to</w:t>
      </w:r>
      <w:r>
        <w:t xml:space="preserve"> </w:t>
      </w:r>
      <w:r w:rsidRPr="005A7857">
        <w:t>examine charges by several community organizations that insurance companies were redlining their neighborhoods, i.e. canceling policies or refusing to insure or renew.</w:t>
      </w:r>
    </w:p>
    <w:p w14:paraId="5C1687DA" w14:textId="37907C41" w:rsidR="005A7857" w:rsidRPr="005A7857" w:rsidRDefault="005A7857" w:rsidP="005A7857">
      <w:pPr>
        <w:ind w:left="720"/>
        <w:rPr>
          <w:b/>
          <w:bCs/>
          <w:sz w:val="24"/>
          <w:szCs w:val="24"/>
        </w:rPr>
      </w:pPr>
      <w:r w:rsidRPr="005A7857">
        <w:rPr>
          <w:b/>
          <w:bCs/>
          <w:sz w:val="24"/>
          <w:szCs w:val="24"/>
        </w:rPr>
        <w:t>Parameters:</w:t>
      </w:r>
    </w:p>
    <w:p w14:paraId="4E66EA90" w14:textId="77777777" w:rsidR="005A7857" w:rsidRDefault="005A7857" w:rsidP="005A7857">
      <w:pPr>
        <w:pStyle w:val="ListParagraph"/>
        <w:numPr>
          <w:ilvl w:val="0"/>
          <w:numId w:val="1"/>
        </w:numPr>
      </w:pPr>
      <w:r w:rsidRPr="005A7857">
        <w:rPr>
          <w:b/>
          <w:bCs/>
        </w:rPr>
        <w:t>race racial</w:t>
      </w:r>
      <w:r>
        <w:t xml:space="preserve"> composition in percent minority</w:t>
      </w:r>
    </w:p>
    <w:p w14:paraId="5D418714" w14:textId="77777777" w:rsidR="005A7857" w:rsidRDefault="005A7857" w:rsidP="005A7857">
      <w:pPr>
        <w:pStyle w:val="ListParagraph"/>
        <w:numPr>
          <w:ilvl w:val="0"/>
          <w:numId w:val="1"/>
        </w:numPr>
      </w:pPr>
      <w:r w:rsidRPr="005A7857">
        <w:rPr>
          <w:b/>
          <w:bCs/>
        </w:rPr>
        <w:t>fire</w:t>
      </w:r>
      <w:r>
        <w:t xml:space="preserve"> ﬁres per 100 housing units</w:t>
      </w:r>
    </w:p>
    <w:p w14:paraId="35E7F244" w14:textId="77777777" w:rsidR="005A7857" w:rsidRDefault="005A7857" w:rsidP="005A7857">
      <w:pPr>
        <w:pStyle w:val="ListParagraph"/>
        <w:numPr>
          <w:ilvl w:val="0"/>
          <w:numId w:val="1"/>
        </w:numPr>
      </w:pPr>
      <w:r w:rsidRPr="005A7857">
        <w:rPr>
          <w:b/>
          <w:bCs/>
        </w:rPr>
        <w:t>theft</w:t>
      </w:r>
      <w:r>
        <w:t xml:space="preserve"> </w:t>
      </w:r>
      <w:proofErr w:type="spellStart"/>
      <w:r>
        <w:t>theft</w:t>
      </w:r>
      <w:proofErr w:type="spellEnd"/>
      <w:r>
        <w:t xml:space="preserve"> per 1000 population</w:t>
      </w:r>
    </w:p>
    <w:p w14:paraId="1E45F90A" w14:textId="77777777" w:rsidR="005A7857" w:rsidRDefault="005A7857" w:rsidP="005A7857">
      <w:pPr>
        <w:pStyle w:val="ListParagraph"/>
        <w:numPr>
          <w:ilvl w:val="0"/>
          <w:numId w:val="1"/>
        </w:numPr>
      </w:pPr>
      <w:r w:rsidRPr="005A7857">
        <w:rPr>
          <w:b/>
          <w:bCs/>
        </w:rPr>
        <w:t>age</w:t>
      </w:r>
      <w:r>
        <w:t xml:space="preserve"> percent of housing units built before 1939</w:t>
      </w:r>
    </w:p>
    <w:p w14:paraId="7D6FC268" w14:textId="77777777" w:rsidR="005A7857" w:rsidRDefault="005A7857" w:rsidP="005A7857">
      <w:pPr>
        <w:pStyle w:val="ListParagraph"/>
        <w:numPr>
          <w:ilvl w:val="0"/>
          <w:numId w:val="1"/>
        </w:numPr>
      </w:pPr>
      <w:proofErr w:type="spellStart"/>
      <w:r w:rsidRPr="005A7857">
        <w:rPr>
          <w:b/>
          <w:bCs/>
        </w:rPr>
        <w:t>volact</w:t>
      </w:r>
      <w:proofErr w:type="spellEnd"/>
      <w:r>
        <w:t xml:space="preserve"> new homeowner policies plus renewals minus cancellations and </w:t>
      </w:r>
      <w:proofErr w:type="spellStart"/>
      <w:r>
        <w:t>non renewals</w:t>
      </w:r>
      <w:proofErr w:type="spellEnd"/>
      <w:r>
        <w:t xml:space="preserve"> per 100 housing units</w:t>
      </w:r>
    </w:p>
    <w:p w14:paraId="1091D2BF" w14:textId="6D0B668E" w:rsidR="001F585E" w:rsidRDefault="005A7857" w:rsidP="005A7857">
      <w:pPr>
        <w:pStyle w:val="ListParagraph"/>
        <w:numPr>
          <w:ilvl w:val="0"/>
          <w:numId w:val="1"/>
        </w:numPr>
      </w:pPr>
      <w:proofErr w:type="spellStart"/>
      <w:r w:rsidRPr="005A7857">
        <w:rPr>
          <w:b/>
          <w:bCs/>
        </w:rPr>
        <w:t>involact</w:t>
      </w:r>
      <w:proofErr w:type="spellEnd"/>
      <w:r>
        <w:t xml:space="preserve"> new FAIR plan policies and renewals per 100 housing units</w:t>
      </w:r>
    </w:p>
    <w:p w14:paraId="696A3B30" w14:textId="3CFB8DF3" w:rsidR="005A7857" w:rsidRDefault="005A7857" w:rsidP="005A7857">
      <w:pPr>
        <w:pStyle w:val="ListParagraph"/>
        <w:numPr>
          <w:ilvl w:val="0"/>
          <w:numId w:val="1"/>
        </w:numPr>
      </w:pPr>
      <w:r w:rsidRPr="005A7857">
        <w:rPr>
          <w:b/>
          <w:bCs/>
        </w:rPr>
        <w:t>income</w:t>
      </w:r>
      <w:r w:rsidRPr="005A7857">
        <w:t xml:space="preserve"> median family income</w:t>
      </w:r>
    </w:p>
    <w:p w14:paraId="19816FEF" w14:textId="2FA55B30" w:rsidR="005A7857" w:rsidRPr="005A7857" w:rsidRDefault="005A7857" w:rsidP="005A7857">
      <w:pPr>
        <w:ind w:left="720"/>
        <w:rPr>
          <w:b/>
          <w:bCs/>
          <w:sz w:val="24"/>
          <w:szCs w:val="24"/>
        </w:rPr>
      </w:pPr>
      <w:r w:rsidRPr="005A7857">
        <w:rPr>
          <w:b/>
          <w:bCs/>
          <w:sz w:val="24"/>
          <w:szCs w:val="24"/>
        </w:rPr>
        <w:t>Data:</w:t>
      </w:r>
    </w:p>
    <w:tbl>
      <w:tblPr>
        <w:tblW w:w="102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310"/>
      </w:tblGrid>
      <w:tr w:rsidR="005A7857" w:rsidRPr="005A7857" w14:paraId="6613E1AF" w14:textId="77777777" w:rsidTr="005A78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1464204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5A785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A785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chicago</w:t>
            </w:r>
            <w:proofErr w:type="spellEnd"/>
          </w:p>
          <w:p w14:paraId="7F5F4474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    race fire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theft  age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volact</w:t>
            </w:r>
            <w:proofErr w:type="spell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involact</w:t>
            </w:r>
            <w:proofErr w:type="spell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income</w:t>
            </w:r>
          </w:p>
          <w:p w14:paraId="04D20E68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60626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10.0  6.2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  29 60.4    5.3      0.0  11744</w:t>
            </w:r>
          </w:p>
          <w:p w14:paraId="097F58F7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60640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22.2  9.5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  44 76.5    3.1      0.1   9323</w:t>
            </w:r>
          </w:p>
          <w:p w14:paraId="7584C382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60613 19.6 10.5    36 73.5    4.8      1.2   9948</w:t>
            </w:r>
          </w:p>
          <w:p w14:paraId="014D52E2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60657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17.3  7.7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  37 66.9    5.7      0.5  10656</w:t>
            </w:r>
          </w:p>
          <w:p w14:paraId="0E7156EF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60614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24.5  8.6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  53 81.4    5.9      0.7   9730</w:t>
            </w:r>
          </w:p>
          <w:p w14:paraId="2D20D675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60610 54.0 34.1    68 52.6    4.0      0.3   8231</w:t>
            </w:r>
          </w:p>
          <w:p w14:paraId="5FD01E5B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60611  4.9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11.0    75 42.6    7.9      0.0  21480</w:t>
            </w:r>
          </w:p>
          <w:p w14:paraId="4E297511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60625  7.</w:t>
            </w:r>
            <w:bookmarkStart w:id="0" w:name="_GoBack"/>
            <w:bookmarkEnd w:id="0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1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6.9    18 78.5    6.9      0.0  11104</w:t>
            </w:r>
          </w:p>
          <w:p w14:paraId="277CF3D4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60618  5.3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7.3    31 90.1    7.6      0.4  10694</w:t>
            </w:r>
          </w:p>
          <w:p w14:paraId="7FA2E002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60647 21.5 15.1    25 89.8    3.1      1.1   9631</w:t>
            </w:r>
          </w:p>
          <w:p w14:paraId="26789E52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60622 43.1 29.1    34 82.7    1.3      1.9   7995</w:t>
            </w:r>
          </w:p>
          <w:p w14:paraId="7C5E7159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60631  1.1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2.2    14 40.2   14.3      0.0  13722</w:t>
            </w:r>
          </w:p>
          <w:p w14:paraId="4E2F6110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60646  1.0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5.7    11 27.9   12.1      0.0  16250</w:t>
            </w:r>
          </w:p>
          <w:p w14:paraId="0AAB74DD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60656  1.7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2.0    11  7.7   10.9      0.0  13686</w:t>
            </w:r>
          </w:p>
          <w:p w14:paraId="6EAEF1CA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60630  1.6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2.5    22 63.8   10.7      0.0  12405</w:t>
            </w:r>
          </w:p>
          <w:p w14:paraId="487EB25E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60634  1.5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3.0    17 51.2   13.8      0.0  12198</w:t>
            </w:r>
          </w:p>
          <w:p w14:paraId="3F8D8DD9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60641  1.8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5.4    27 85.1    8.9      0.0  11600</w:t>
            </w:r>
          </w:p>
          <w:p w14:paraId="3487A589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60635  1.0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2.2     9 44.4   11.5      0.0  12765</w:t>
            </w:r>
          </w:p>
          <w:p w14:paraId="52E63B3B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60639  2.5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7.2    29 84.2    8.5      0.2  11084</w:t>
            </w:r>
          </w:p>
          <w:p w14:paraId="657B24B1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60651 13.4 15.1    30 89.8    5.2     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0.8  10510</w:t>
            </w:r>
            <w:proofErr w:type="gramEnd"/>
          </w:p>
          <w:p w14:paraId="403B8779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60644 59.8 16.5    40 72.7    2.7      0.8   9784</w:t>
            </w:r>
          </w:p>
          <w:p w14:paraId="46C8F962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60624 94.4 18.4    32 72.9    1.2      1.8   7342</w:t>
            </w:r>
          </w:p>
          <w:p w14:paraId="271408EF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60612 86.2 36.2    41 63.1    0.8      1.8   6565</w:t>
            </w:r>
          </w:p>
          <w:p w14:paraId="46A7749E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60607 50.2 39.7   147 83.0    5.2      0.9   7459</w:t>
            </w:r>
          </w:p>
          <w:p w14:paraId="2131A94B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60623 74.2 18.5    22 78.3    1.8      1.9   8014</w:t>
            </w:r>
          </w:p>
          <w:p w14:paraId="09385833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60608 55.5 23.3    29 79.0    2.1      1.5   8177</w:t>
            </w:r>
          </w:p>
          <w:p w14:paraId="519C479C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60616 62.3 12.2    46 48.0    3.4      0.6   8212</w:t>
            </w:r>
          </w:p>
          <w:p w14:paraId="73741684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60632  4.4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5.6    23 71.5    8.0      0.3  11230</w:t>
            </w:r>
          </w:p>
          <w:p w14:paraId="4790C6E8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60609 46.2 21.8     4 73.1    2.6      1.3   8330</w:t>
            </w:r>
          </w:p>
          <w:p w14:paraId="182B7CFD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lastRenderedPageBreak/>
              <w:t>60653 99.7 21.6    31 65.0    0.5      0.9   5583</w:t>
            </w:r>
          </w:p>
          <w:p w14:paraId="5766AD0E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60615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73.5  9.0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  39 75.4    2.7      0.4   8564</w:t>
            </w:r>
          </w:p>
          <w:p w14:paraId="1909E64D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60638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10.7  3.6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  15 20.8    9.1      0.0  12102</w:t>
            </w:r>
          </w:p>
          <w:p w14:paraId="2BD4E740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60629  1.5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5.0    32 61.8   11.6      0.0  11876</w:t>
            </w:r>
          </w:p>
          <w:p w14:paraId="21B83C79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60636 48.8 28.6    27 78.1    4.0      1.4   9742</w:t>
            </w:r>
          </w:p>
          <w:p w14:paraId="33F4A69B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60621 98.9 17.4    32 68.6    1.7      2.2   7520</w:t>
            </w:r>
          </w:p>
          <w:p w14:paraId="4BA84812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60637 90.6 11.3    34 73.4    1.9      0.8   7388</w:t>
            </w:r>
          </w:p>
          <w:p w14:paraId="11E1CA7C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60652  1.4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3.4    17  2.0   12.9      0.0  13842</w:t>
            </w:r>
          </w:p>
          <w:p w14:paraId="1E21B8C3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60620 71.2 11.9    46 57.0    4.8     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0.9  11040</w:t>
            </w:r>
            <w:proofErr w:type="gramEnd"/>
          </w:p>
          <w:p w14:paraId="0EB9CFC8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60619 94.1 10.5    42 55.9    6.6     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0.9  10332</w:t>
            </w:r>
            <w:proofErr w:type="gramEnd"/>
          </w:p>
          <w:p w14:paraId="0964F550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60649 66.1 10.7    43 67.5    3.1     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0.4  10908</w:t>
            </w:r>
            <w:proofErr w:type="gramEnd"/>
          </w:p>
          <w:p w14:paraId="0123C6BF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60617 36.4 10.8    34 58.0    7.8     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0.9  11156</w:t>
            </w:r>
            <w:proofErr w:type="gramEnd"/>
          </w:p>
          <w:p w14:paraId="548C4834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60655  1.0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4.8    19 15.2   13.0      0.0  13323</w:t>
            </w:r>
          </w:p>
          <w:p w14:paraId="24BAE349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60643 42.5 10.4    25 40.8   10.2     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0.5  12960</w:t>
            </w:r>
            <w:proofErr w:type="gramEnd"/>
          </w:p>
          <w:p w14:paraId="30AE3825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60628 35.1 15.6    28 57.8    7.5     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1.0  11260</w:t>
            </w:r>
            <w:proofErr w:type="gramEnd"/>
          </w:p>
          <w:p w14:paraId="26ACA801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60627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47.4  7.0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   3 11.4    7.7      0.2  10080</w:t>
            </w:r>
          </w:p>
          <w:p w14:paraId="48B5E98E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60633 </w:t>
            </w: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34.0  7.1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  23 49.2   11.6      0.3  11428</w:t>
            </w:r>
          </w:p>
          <w:p w14:paraId="05CDD976" w14:textId="77777777" w:rsidR="005A7857" w:rsidRPr="005A7857" w:rsidRDefault="005A7857" w:rsidP="005A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>60645  3.1</w:t>
            </w:r>
            <w:proofErr w:type="gramEnd"/>
            <w:r w:rsidRPr="005A7857">
              <w:rPr>
                <w:rFonts w:ascii="Consolas" w:eastAsia="Times New Roman" w:hAnsi="Consolas" w:cs="Courier New"/>
                <w:color w:val="404040"/>
                <w:sz w:val="20"/>
                <w:szCs w:val="20"/>
                <w:bdr w:val="none" w:sz="0" w:space="0" w:color="auto" w:frame="1"/>
              </w:rPr>
              <w:t xml:space="preserve">  4.9    27 46.6   10.9      0.0  13731</w:t>
            </w:r>
          </w:p>
          <w:p w14:paraId="451C346C" w14:textId="77777777" w:rsidR="005A7857" w:rsidRPr="005A7857" w:rsidRDefault="005A7857" w:rsidP="005A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7857" w:rsidRPr="005A7857" w14:paraId="77DED868" w14:textId="77777777" w:rsidTr="005A78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3C5D73C" w14:textId="77777777" w:rsidR="005A7857" w:rsidRPr="005A7857" w:rsidRDefault="005A7857" w:rsidP="005A78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857" w:rsidRPr="005A7857" w14:paraId="0EF187C7" w14:textId="77777777" w:rsidTr="005A78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2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0"/>
            </w:tblGrid>
            <w:tr w:rsidR="005A7857" w:rsidRPr="005A7857" w14:paraId="7F5BA01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B211627" w14:textId="77777777" w:rsidR="005A7857" w:rsidRPr="005A7857" w:rsidRDefault="005A7857" w:rsidP="005A7857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5A7857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14:paraId="791AA9D0" w14:textId="77777777" w:rsidR="005A7857" w:rsidRPr="005A7857" w:rsidRDefault="005A7857" w:rsidP="005A7857">
            <w:pPr>
              <w:spacing w:after="0" w:line="240" w:lineRule="auto"/>
              <w:rPr>
                <w:rFonts w:ascii="Consolas" w:eastAsia="Times New Roman" w:hAnsi="Consolas" w:cs="Times New Roman"/>
                <w:color w:val="404040"/>
                <w:sz w:val="24"/>
                <w:szCs w:val="24"/>
              </w:rPr>
            </w:pPr>
          </w:p>
        </w:tc>
      </w:tr>
    </w:tbl>
    <w:p w14:paraId="75A818A0" w14:textId="77777777" w:rsidR="005A7857" w:rsidRPr="005A7857" w:rsidRDefault="005A7857" w:rsidP="005A7857">
      <w:pPr>
        <w:ind w:left="720"/>
      </w:pPr>
    </w:p>
    <w:sectPr w:rsidR="005A7857" w:rsidRPr="005A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7864"/>
    <w:multiLevelType w:val="hybridMultilevel"/>
    <w:tmpl w:val="E5662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1MDC1MDc1MzIxtDBS0lEKTi0uzszPAykwqgUAiR7baCwAAAA="/>
  </w:docVars>
  <w:rsids>
    <w:rsidRoot w:val="005A7857"/>
    <w:rsid w:val="000A4731"/>
    <w:rsid w:val="001F585E"/>
    <w:rsid w:val="00426242"/>
    <w:rsid w:val="005A7857"/>
    <w:rsid w:val="00C7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834F"/>
  <w15:chartTrackingRefBased/>
  <w15:docId w15:val="{CC43538E-2FB2-46CB-B726-54FBD087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8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857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5A7857"/>
  </w:style>
  <w:style w:type="character" w:customStyle="1" w:styleId="gd15mcfcktb">
    <w:name w:val="gd15mcfcktb"/>
    <w:basedOn w:val="DefaultParagraphFont"/>
    <w:rsid w:val="005A7857"/>
  </w:style>
  <w:style w:type="character" w:customStyle="1" w:styleId="gd15mcfceub">
    <w:name w:val="gd15mcfceub"/>
    <w:basedOn w:val="DefaultParagraphFont"/>
    <w:rsid w:val="005A7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Hassan Qayyum</dc:creator>
  <cp:keywords/>
  <dc:description/>
  <cp:lastModifiedBy>Malik Hassan Qayyum</cp:lastModifiedBy>
  <cp:revision>4</cp:revision>
  <dcterms:created xsi:type="dcterms:W3CDTF">2019-11-18T19:56:00Z</dcterms:created>
  <dcterms:modified xsi:type="dcterms:W3CDTF">2019-11-18T20:11:00Z</dcterms:modified>
</cp:coreProperties>
</file>