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E4D8C"/>
          <w:sz w:val="52"/>
          <w:szCs w:val="52"/>
        </w:rPr>
        <w:t xml:space="preserve">BÁO CÁO DOANH THU CÔNG TY</w:t>
      </w:r>
    </w:p>
    <w:p>
      <w:pPr>
        <w:spacing w:after="100" w:before="0"/>
        <w:jc w:val="center"/>
      </w:pPr>
      <w:r>
        <w:rPr>
          <w:rFonts w:ascii="Arial" w:cs="Arial" w:eastAsia="Arial" w:hAnsi="Arial"/>
          <w:b/>
          <w:bCs/>
          <w:color w:val="E74C3C"/>
          <w:sz w:val="36"/>
          <w:szCs w:val="36"/>
        </w:rPr>
        <w:t xml:space="preserve">NĂM TÀI CHÍNH 2025</w:t>
      </w:r>
    </w:p>
    <w:p>
      <w:pPr>
        <w:spacing w:after="600" w:before="0"/>
        <w:jc w:val="center"/>
      </w:pPr>
      <w:r>
        <w:rPr>
          <w:rFonts w:ascii="Arial" w:cs="Arial" w:eastAsia="Arial" w:hAnsi="Arial"/>
          <w:i/>
          <w:iCs/>
          <w:color w:val="666666"/>
          <w:sz w:val="24"/>
          <w:szCs w:val="24"/>
        </w:rPr>
        <w:t xml:space="preserve">Phòng Tài chính – Kế toán</w:t>
      </w:r>
    </w:p>
    <w:p>
      <w:pPr>
        <w:pBdr>
          <w:bottom w:val="single" w:color="1E4D8C" w:sz="6" w:space="1"/>
        </w:pBdr>
        <w:spacing w:after="400" w:before="0"/>
      </w:pPr>
    </w:p>
    <w:p>
      <w:pPr>
        <w:spacing w:after="160" w:before="320"/>
      </w:pPr>
      <w:r>
        <w:rPr>
          <w:rFonts w:ascii="Arial" w:cs="Arial" w:eastAsia="Arial" w:hAnsi="Arial"/>
          <w:b/>
          <w:bCs/>
          <w:color w:val="1E4D8C"/>
          <w:sz w:val="28"/>
          <w:szCs w:val="28"/>
        </w:rPr>
        <w:t xml:space="preserve">1. TỔNG QUAN DOANH THU 2025</w:t>
      </w:r>
    </w:p>
    <w:p>
      <w:pPr>
        <w:spacing w:after="80" w:before="80"/>
      </w:pPr>
      <w:r>
        <w:rPr>
          <w:rFonts w:ascii="Arial" w:cs="Arial" w:eastAsia="Arial" w:hAnsi="Arial"/>
          <w:color w:val="444444"/>
          <w:sz w:val="22"/>
          <w:szCs w:val="22"/>
        </w:rPr>
        <w:t xml:space="preserve">Năm 2025 đánh dấu một bước tiến vượt bậc trong hoạt động kinh doanh của công ty. Tổng doanh thu đạt 2.260 tỷ VND, tăng trưởng bình quân 13,75% so với các quý trước. Kết quả này phản ánh sự nỗ lực không ngừng của toàn thể cán bộ, nhân viên trong bối cảnh thị trường có nhiều biến động.</w:t>
      </w:r>
    </w:p>
    <w:p>
      <w:pPr>
        <w:spacing w:after="80" w:before="80"/>
      </w:pPr>
      <w:r>
        <w:rPr>
          <w:rFonts w:ascii="Arial" w:cs="Arial" w:eastAsia="Arial" w:hAnsi="Arial"/>
          <w:color w:val="444444"/>
          <w:sz w:val="22"/>
          <w:szCs w:val="22"/>
        </w:rPr>
        <w:t xml:space="preserve">Các chỉ số kinh doanh chủ chốt đều đạt và vượt kế hoạch đề ra, thể hiện năng lực cạnh tranh vững chắc và chiến lược phát triển đúng hướng của Ban lãnh đạo Công ty.</w:t>
      </w:r>
    </w:p>
    <w:p>
      <w:pPr>
        <w:spacing w:after="120" w:before="240"/>
      </w:pPr>
      <w:r>
        <w:rPr>
          <w:rFonts w:ascii="Arial" w:cs="Arial" w:eastAsia="Arial" w:hAnsi="Arial"/>
          <w:b/>
          <w:bCs/>
          <w:i/>
          <w:iCs/>
          <w:color w:val="333333"/>
          <w:sz w:val="22"/>
          <w:szCs w:val="22"/>
        </w:rPr>
        <w:t xml:space="preserve">Bảng 1: Tổng hợp Doanh thu theo Quý năm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Quý</w:t>
            </w:r>
          </w:p>
        </w:tc>
        <w:tc>
          <w:tcPr>
            <w:tcW w:type="dxa" w:w="23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Doanh thu (tỷ VND)</w:t>
            </w:r>
          </w:p>
        </w:tc>
        <w:tc>
          <w:tcPr>
            <w:tcW w:type="dxa" w:w="23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Tăng trưởng</w:t>
            </w:r>
          </w:p>
        </w:tc>
        <w:tc>
          <w:tcPr>
            <w:tcW w:type="dxa" w:w="23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Đánh giá</w:t>
            </w:r>
          </w:p>
        </w:tc>
      </w:tr>
      <w:tr>
        <w:tc>
          <w:tcPr>
            <w:tcW w:type="dxa" w:w="23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Q1 2025</w:t>
            </w:r>
          </w:p>
        </w:tc>
        <w:tc>
          <w:tcPr>
            <w:tcW w:type="dxa" w:w="23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450</w:t>
            </w:r>
          </w:p>
        </w:tc>
        <w:tc>
          <w:tcPr>
            <w:tcW w:type="dxa" w:w="23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12%</w:t>
            </w:r>
          </w:p>
        </w:tc>
        <w:tc>
          <w:tcPr>
            <w:tcW w:type="dxa" w:w="23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Đạt kế hoạch</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Q2 2025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520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Vượt kế hoạch</w:t>
            </w:r>
          </w:p>
        </w:tc>
      </w:tr>
      <w:tr>
        <w:tc>
          <w:tcPr>
            <w:tcW w:type="dxa" w:w="23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Q3 2025</w:t>
            </w:r>
          </w:p>
        </w:tc>
        <w:tc>
          <w:tcPr>
            <w:tcW w:type="dxa" w:w="23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610</w:t>
            </w:r>
          </w:p>
        </w:tc>
        <w:tc>
          <w:tcPr>
            <w:tcW w:type="dxa" w:w="23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17%</w:t>
            </w:r>
          </w:p>
        </w:tc>
        <w:tc>
          <w:tcPr>
            <w:tcW w:type="dxa" w:w="23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Vượt kế hoạch</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Q4 2025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680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Đạt kế hoạch</w:t>
            </w:r>
          </w:p>
        </w:tc>
      </w:tr>
      <w:tr>
        <w:tc>
          <w:tcPr>
            <w:tcW w:type="dxa" w:w="23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TỔNG</w:t>
            </w:r>
          </w:p>
        </w:tc>
        <w:tc>
          <w:tcPr>
            <w:tcW w:type="dxa" w:w="23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2.260</w:t>
            </w:r>
          </w:p>
        </w:tc>
        <w:tc>
          <w:tcPr>
            <w:tcW w:type="dxa" w:w="23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~13,75%</w:t>
            </w:r>
          </w:p>
        </w:tc>
        <w:tc>
          <w:tcPr>
            <w:tcW w:type="dxa" w:w="23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Vượt mục tiêu</w:t>
            </w:r>
          </w:p>
        </w:tc>
      </w:tr>
    </w:tbl>
    <w:p>
      <w:r>
        <w:br w:type="page"/>
      </w:r>
    </w:p>
    <w:p>
      <w:pPr>
        <w:spacing w:after="160" w:before="320"/>
      </w:pPr>
      <w:r>
        <w:rPr>
          <w:rFonts w:ascii="Arial" w:cs="Arial" w:eastAsia="Arial" w:hAnsi="Arial"/>
          <w:b/>
          <w:bCs/>
          <w:color w:val="1E4D8C"/>
          <w:sz w:val="28"/>
          <w:szCs w:val="28"/>
        </w:rPr>
        <w:t xml:space="preserve">2. PHÂN TÍCH DOANH THU THEO NHÓM SẢN PHẨM</w:t>
      </w:r>
    </w:p>
    <w:p>
      <w:pPr>
        <w:spacing w:after="80" w:before="80"/>
      </w:pPr>
      <w:r>
        <w:rPr>
          <w:rFonts w:ascii="Arial" w:cs="Arial" w:eastAsia="Arial" w:hAnsi="Arial"/>
          <w:color w:val="444444"/>
          <w:sz w:val="22"/>
          <w:szCs w:val="22"/>
        </w:rPr>
        <w:t xml:space="preserve">Doanh thu được phân bổ theo ba nhóm sản phẩm/dịch vụ chính: Sản phẩm A (hàng tiêu dùng), Sản phẩm B (công nghệ), và Dịch vụ sau bán hàng. Trong đó, nhóm Sản phẩm B ghi nhận mức tăng trưởng cao nhất nhờ chiến lược mở rộng thị trường và đầu tư vào R&amp;D.</w:t>
      </w:r>
    </w:p>
    <w:p>
      <w:pPr>
        <w:spacing w:after="120" w:before="200"/>
      </w:pPr>
      <w:r>
        <w:rPr>
          <w:rFonts w:ascii="Arial" w:cs="Arial" w:eastAsia="Arial" w:hAnsi="Arial"/>
          <w:b/>
          <w:bCs/>
          <w:i/>
          <w:iCs/>
          <w:color w:val="333333"/>
          <w:sz w:val="22"/>
          <w:szCs w:val="22"/>
        </w:rPr>
        <w:t xml:space="preserve">Bảng 2: Doanh thu theo Nhóm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Nhóm sản phẩm</w:t>
            </w:r>
          </w:p>
        </w:tc>
        <w:tc>
          <w:tcPr>
            <w:tcW w:type="dxa" w:w="16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Q1</w:t>
            </w:r>
          </w:p>
        </w:tc>
        <w:tc>
          <w:tcPr>
            <w:tcW w:type="dxa" w:w="16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Q2</w:t>
            </w:r>
          </w:p>
        </w:tc>
        <w:tc>
          <w:tcPr>
            <w:tcW w:type="dxa" w:w="16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Q3</w:t>
            </w:r>
          </w:p>
        </w:tc>
        <w:tc>
          <w:tcPr>
            <w:tcW w:type="dxa" w:w="16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Q4</w:t>
            </w:r>
          </w:p>
        </w:tc>
      </w:tr>
      <w:tr>
        <w:tc>
          <w:tcPr>
            <w:tcW w:type="dxa" w:w="28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left"/>
            </w:pPr>
            <w:r>
              <w:rPr>
                <w:rFonts w:ascii="Arial" w:cs="Arial" w:eastAsia="Arial" w:hAnsi="Arial"/>
                <w:color w:val="333333"/>
                <w:sz w:val="22"/>
                <w:szCs w:val="22"/>
              </w:rPr>
              <w:t xml:space="preserve">Sản phẩm A – Tiêu dùng</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180</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200</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225</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250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color w:val="333333"/>
                <w:sz w:val="22"/>
                <w:szCs w:val="22"/>
              </w:rPr>
              <w:t xml:space="preserve">Sản phẩm B – Công nghệ</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170</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210</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270</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300</w:t>
            </w:r>
          </w:p>
        </w:tc>
      </w:tr>
      <w:tr>
        <w:tc>
          <w:tcPr>
            <w:tcW w:type="dxa" w:w="28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left"/>
            </w:pPr>
            <w:r>
              <w:rPr>
                <w:rFonts w:ascii="Arial" w:cs="Arial" w:eastAsia="Arial" w:hAnsi="Arial"/>
                <w:color w:val="333333"/>
                <w:sz w:val="22"/>
                <w:szCs w:val="22"/>
              </w:rPr>
              <w:t xml:space="preserve">Dịch vụ Sau bán hàng</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100</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110</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115</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130</w:t>
            </w:r>
          </w:p>
        </w:tc>
      </w:tr>
      <w:tr>
        <w:tc>
          <w:tcPr>
            <w:tcW w:type="dxa" w:w="2800"/>
            <w:tcBorders>
              <w:top w:val="single" w:color="1E4D8C" w:sz="1"/>
              <w:left w:val="single" w:color="1E4D8C" w:sz="1"/>
              <w:bottom w:val="single" w:color="1E4D8C" w:sz="1"/>
              <w:right w:val="single" w:color="1E4D8C" w:sz="1"/>
            </w:tcBorders>
            <w:shd w:fill="2E86C1"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Tổng</w:t>
            </w:r>
          </w:p>
        </w:tc>
        <w:tc>
          <w:tcPr>
            <w:tcW w:type="dxa" w:w="1640"/>
            <w:tcBorders>
              <w:top w:val="single" w:color="1E4D8C" w:sz="1"/>
              <w:left w:val="single" w:color="1E4D8C" w:sz="1"/>
              <w:bottom w:val="single" w:color="1E4D8C" w:sz="1"/>
              <w:right w:val="single" w:color="1E4D8C" w:sz="1"/>
            </w:tcBorders>
            <w:shd w:fill="2E86C1"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450</w:t>
            </w:r>
          </w:p>
        </w:tc>
        <w:tc>
          <w:tcPr>
            <w:tcW w:type="dxa" w:w="1640"/>
            <w:tcBorders>
              <w:top w:val="single" w:color="1E4D8C" w:sz="1"/>
              <w:left w:val="single" w:color="1E4D8C" w:sz="1"/>
              <w:bottom w:val="single" w:color="1E4D8C" w:sz="1"/>
              <w:right w:val="single" w:color="1E4D8C" w:sz="1"/>
            </w:tcBorders>
            <w:shd w:fill="2E86C1"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520</w:t>
            </w:r>
          </w:p>
        </w:tc>
        <w:tc>
          <w:tcPr>
            <w:tcW w:type="dxa" w:w="1640"/>
            <w:tcBorders>
              <w:top w:val="single" w:color="1E4D8C" w:sz="1"/>
              <w:left w:val="single" w:color="1E4D8C" w:sz="1"/>
              <w:bottom w:val="single" w:color="1E4D8C" w:sz="1"/>
              <w:right w:val="single" w:color="1E4D8C" w:sz="1"/>
            </w:tcBorders>
            <w:shd w:fill="2E86C1"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610</w:t>
            </w:r>
          </w:p>
        </w:tc>
        <w:tc>
          <w:tcPr>
            <w:tcW w:type="dxa" w:w="1640"/>
            <w:tcBorders>
              <w:top w:val="single" w:color="1E4D8C" w:sz="1"/>
              <w:left w:val="single" w:color="1E4D8C" w:sz="1"/>
              <w:bottom w:val="single" w:color="1E4D8C" w:sz="1"/>
              <w:right w:val="single" w:color="1E4D8C" w:sz="1"/>
            </w:tcBorders>
            <w:shd w:fill="2E86C1"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680</w:t>
            </w:r>
          </w:p>
        </w:tc>
      </w:tr>
    </w:tbl>
    <w:p>
      <w:pPr>
        <w:spacing w:after="100" w:before="300"/>
      </w:pPr>
      <w:r>
        <w:rPr>
          <w:rFonts w:ascii="Arial" w:cs="Arial" w:eastAsia="Arial" w:hAnsi="Arial"/>
          <w:b/>
          <w:bCs/>
          <w:color w:val="1E4D8C"/>
          <w:sz w:val="22"/>
          <w:szCs w:val="22"/>
        </w:rPr>
        <w:t xml:space="preserve">Nhận xét:</w:t>
      </w:r>
    </w:p>
    <w:p>
      <w:pPr>
        <w:spacing w:after="80" w:before="80"/>
      </w:pPr>
      <w:r>
        <w:rPr>
          <w:rFonts w:ascii="Arial" w:cs="Arial" w:eastAsia="Arial" w:hAnsi="Arial"/>
          <w:color w:val="444444"/>
          <w:sz w:val="22"/>
          <w:szCs w:val="22"/>
        </w:rPr>
        <w:t xml:space="preserve">• Sản phẩm B – Công nghệ dẫn đầu về tốc độ tăng trưởng, đạt 76% từ Q1 đến Q4.</w:t>
      </w:r>
    </w:p>
    <w:p>
      <w:pPr>
        <w:spacing w:after="80" w:before="80"/>
      </w:pPr>
      <w:r>
        <w:rPr>
          <w:rFonts w:ascii="Arial" w:cs="Arial" w:eastAsia="Arial" w:hAnsi="Arial"/>
          <w:color w:val="444444"/>
          <w:sz w:val="22"/>
          <w:szCs w:val="22"/>
        </w:rPr>
        <w:t xml:space="preserve">• Sản phẩm A – Tiêu dùng duy trì mức tăng ổn định, đóng góp ~38% tổng doanh thu.</w:t>
      </w:r>
    </w:p>
    <w:p>
      <w:pPr>
        <w:spacing w:after="80" w:before="80"/>
      </w:pPr>
      <w:r>
        <w:rPr>
          <w:rFonts w:ascii="Arial" w:cs="Arial" w:eastAsia="Arial" w:hAnsi="Arial"/>
          <w:color w:val="444444"/>
          <w:sz w:val="22"/>
          <w:szCs w:val="22"/>
        </w:rPr>
        <w:t xml:space="preserve">• Dịch vụ Sau bán hàng tăng đều, phản ánh chất lượng dịch vụ và mức độ hài lòng khách hàng được cải thiện.</w:t>
      </w:r>
    </w:p>
    <w:p>
      <w:r>
        <w:br w:type="page"/>
      </w:r>
    </w:p>
    <w:p>
      <w:pPr>
        <w:spacing w:after="160" w:before="320"/>
      </w:pPr>
      <w:r>
        <w:rPr>
          <w:rFonts w:ascii="Arial" w:cs="Arial" w:eastAsia="Arial" w:hAnsi="Arial"/>
          <w:b/>
          <w:bCs/>
          <w:color w:val="1E4D8C"/>
          <w:sz w:val="28"/>
          <w:szCs w:val="28"/>
        </w:rPr>
        <w:t xml:space="preserve">3. PHÂN TÍCH DOANH THU THEO KHU VỰC ĐỊA LÝ</w:t>
      </w:r>
    </w:p>
    <w:p>
      <w:pPr>
        <w:spacing w:after="80" w:before="80"/>
      </w:pPr>
      <w:r>
        <w:rPr>
          <w:rFonts w:ascii="Arial" w:cs="Arial" w:eastAsia="Arial" w:hAnsi="Arial"/>
          <w:color w:val="444444"/>
          <w:sz w:val="22"/>
          <w:szCs w:val="22"/>
        </w:rPr>
        <w:t xml:space="preserve">Công ty hiện hoạt động tại 4 khu vực chính: Miền Bắc, Miền Trung, Miền Nam và Xuất khẩu. Thị trường Miền Nam tiếp tục là khu vực đóng góp doanh thu lớn nhất, chiếm khoảng 42% tổng doanh thu toàn năm.</w:t>
      </w:r>
    </w:p>
    <w:p>
      <w:pPr>
        <w:spacing w:after="120" w:before="200"/>
      </w:pPr>
      <w:r>
        <w:rPr>
          <w:rFonts w:ascii="Arial" w:cs="Arial" w:eastAsia="Arial" w:hAnsi="Arial"/>
          <w:b/>
          <w:bCs/>
          <w:i/>
          <w:iCs/>
          <w:color w:val="333333"/>
          <w:sz w:val="22"/>
          <w:szCs w:val="22"/>
        </w:rPr>
        <w:t xml:space="preserve">Bảng 3: Doanh thu theo Khu vực Địa lý (tỷ VND)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Khu vực</w:t>
            </w:r>
          </w:p>
        </w:tc>
        <w:tc>
          <w:tcPr>
            <w:tcW w:type="dxa" w:w="17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Q1</w:t>
            </w:r>
          </w:p>
        </w:tc>
        <w:tc>
          <w:tcPr>
            <w:tcW w:type="dxa" w:w="17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Q2</w:t>
            </w:r>
          </w:p>
        </w:tc>
        <w:tc>
          <w:tcPr>
            <w:tcW w:type="dxa" w:w="17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Q3</w:t>
            </w:r>
          </w:p>
        </w:tc>
        <w:tc>
          <w:tcPr>
            <w:tcW w:type="dxa" w:w="17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Q4</w:t>
            </w:r>
          </w:p>
        </w:tc>
      </w:tr>
      <w:tr>
        <w:tc>
          <w:tcPr>
            <w:tcW w:type="dxa" w:w="24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left"/>
            </w:pPr>
            <w:r>
              <w:rPr>
                <w:rFonts w:ascii="Arial" w:cs="Arial" w:eastAsia="Arial" w:hAnsi="Arial"/>
                <w:color w:val="333333"/>
                <w:sz w:val="22"/>
                <w:szCs w:val="22"/>
              </w:rPr>
              <w:t xml:space="preserve">Miền Bắc</w:t>
            </w:r>
          </w:p>
        </w:tc>
        <w:tc>
          <w:tcPr>
            <w:tcW w:type="dxa" w:w="17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95</w:t>
            </w:r>
          </w:p>
        </w:tc>
        <w:tc>
          <w:tcPr>
            <w:tcW w:type="dxa" w:w="17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110</w:t>
            </w:r>
          </w:p>
        </w:tc>
        <w:tc>
          <w:tcPr>
            <w:tcW w:type="dxa" w:w="17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130</w:t>
            </w:r>
          </w:p>
        </w:tc>
        <w:tc>
          <w:tcPr>
            <w:tcW w:type="dxa" w:w="17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140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color w:val="333333"/>
                <w:sz w:val="22"/>
                <w:szCs w:val="22"/>
              </w:rPr>
              <w:t xml:space="preserve">Miền Trung</w:t>
            </w:r>
          </w:p>
        </w:tc>
        <w:tc>
          <w:tcPr>
            <w:tcW w:type="dxa" w:w="17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60</w:t>
            </w:r>
          </w:p>
        </w:tc>
        <w:tc>
          <w:tcPr>
            <w:tcW w:type="dxa" w:w="17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70</w:t>
            </w:r>
          </w:p>
        </w:tc>
        <w:tc>
          <w:tcPr>
            <w:tcW w:type="dxa" w:w="17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80</w:t>
            </w:r>
          </w:p>
        </w:tc>
        <w:tc>
          <w:tcPr>
            <w:tcW w:type="dxa" w:w="17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90</w:t>
            </w:r>
          </w:p>
        </w:tc>
      </w:tr>
      <w:tr>
        <w:tc>
          <w:tcPr>
            <w:tcW w:type="dxa" w:w="24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left"/>
            </w:pPr>
            <w:r>
              <w:rPr>
                <w:rFonts w:ascii="Arial" w:cs="Arial" w:eastAsia="Arial" w:hAnsi="Arial"/>
                <w:color w:val="333333"/>
                <w:sz w:val="22"/>
                <w:szCs w:val="22"/>
              </w:rPr>
              <w:t xml:space="preserve">Miền Nam</w:t>
            </w:r>
          </w:p>
        </w:tc>
        <w:tc>
          <w:tcPr>
            <w:tcW w:type="dxa" w:w="17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190</w:t>
            </w:r>
          </w:p>
        </w:tc>
        <w:tc>
          <w:tcPr>
            <w:tcW w:type="dxa" w:w="17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220</w:t>
            </w:r>
          </w:p>
        </w:tc>
        <w:tc>
          <w:tcPr>
            <w:tcW w:type="dxa" w:w="17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260</w:t>
            </w:r>
          </w:p>
        </w:tc>
        <w:tc>
          <w:tcPr>
            <w:tcW w:type="dxa" w:w="17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280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color w:val="333333"/>
                <w:sz w:val="22"/>
                <w:szCs w:val="22"/>
              </w:rPr>
              <w:t xml:space="preserve">Xuất khẩu</w:t>
            </w:r>
          </w:p>
        </w:tc>
        <w:tc>
          <w:tcPr>
            <w:tcW w:type="dxa" w:w="17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105</w:t>
            </w:r>
          </w:p>
        </w:tc>
        <w:tc>
          <w:tcPr>
            <w:tcW w:type="dxa" w:w="17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120</w:t>
            </w:r>
          </w:p>
        </w:tc>
        <w:tc>
          <w:tcPr>
            <w:tcW w:type="dxa" w:w="17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140</w:t>
            </w:r>
          </w:p>
        </w:tc>
        <w:tc>
          <w:tcPr>
            <w:tcW w:type="dxa" w:w="17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170</w:t>
            </w:r>
          </w:p>
        </w:tc>
      </w:tr>
      <w:tr>
        <w:tc>
          <w:tcPr>
            <w:tcW w:type="dxa" w:w="2400"/>
            <w:tcBorders>
              <w:top w:val="single" w:color="1E4D8C" w:sz="1"/>
              <w:left w:val="single" w:color="1E4D8C" w:sz="1"/>
              <w:bottom w:val="single" w:color="1E4D8C" w:sz="1"/>
              <w:right w:val="single" w:color="1E4D8C" w:sz="1"/>
            </w:tcBorders>
            <w:shd w:fill="2E86C1"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Tổng</w:t>
            </w:r>
          </w:p>
        </w:tc>
        <w:tc>
          <w:tcPr>
            <w:tcW w:type="dxa" w:w="1740"/>
            <w:tcBorders>
              <w:top w:val="single" w:color="1E4D8C" w:sz="1"/>
              <w:left w:val="single" w:color="1E4D8C" w:sz="1"/>
              <w:bottom w:val="single" w:color="1E4D8C" w:sz="1"/>
              <w:right w:val="single" w:color="1E4D8C" w:sz="1"/>
            </w:tcBorders>
            <w:shd w:fill="2E86C1"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450</w:t>
            </w:r>
          </w:p>
        </w:tc>
        <w:tc>
          <w:tcPr>
            <w:tcW w:type="dxa" w:w="1740"/>
            <w:tcBorders>
              <w:top w:val="single" w:color="1E4D8C" w:sz="1"/>
              <w:left w:val="single" w:color="1E4D8C" w:sz="1"/>
              <w:bottom w:val="single" w:color="1E4D8C" w:sz="1"/>
              <w:right w:val="single" w:color="1E4D8C" w:sz="1"/>
            </w:tcBorders>
            <w:shd w:fill="2E86C1"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520</w:t>
            </w:r>
          </w:p>
        </w:tc>
        <w:tc>
          <w:tcPr>
            <w:tcW w:type="dxa" w:w="1740"/>
            <w:tcBorders>
              <w:top w:val="single" w:color="1E4D8C" w:sz="1"/>
              <w:left w:val="single" w:color="1E4D8C" w:sz="1"/>
              <w:bottom w:val="single" w:color="1E4D8C" w:sz="1"/>
              <w:right w:val="single" w:color="1E4D8C" w:sz="1"/>
            </w:tcBorders>
            <w:shd w:fill="2E86C1"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610</w:t>
            </w:r>
          </w:p>
        </w:tc>
        <w:tc>
          <w:tcPr>
            <w:tcW w:type="dxa" w:w="1740"/>
            <w:tcBorders>
              <w:top w:val="single" w:color="1E4D8C" w:sz="1"/>
              <w:left w:val="single" w:color="1E4D8C" w:sz="1"/>
              <w:bottom w:val="single" w:color="1E4D8C" w:sz="1"/>
              <w:right w:val="single" w:color="1E4D8C" w:sz="1"/>
            </w:tcBorders>
            <w:shd w:fill="2E86C1"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680</w:t>
            </w:r>
          </w:p>
        </w:tc>
      </w:tr>
    </w:tbl>
    <w:p>
      <w:pPr>
        <w:spacing w:after="100" w:before="240"/>
      </w:pPr>
      <w:r>
        <w:rPr>
          <w:rFonts w:ascii="Arial" w:cs="Arial" w:eastAsia="Arial" w:hAnsi="Arial"/>
          <w:b/>
          <w:bCs/>
          <w:i/>
          <w:iCs/>
          <w:color w:val="333333"/>
          <w:sz w:val="22"/>
          <w:szCs w:val="22"/>
        </w:rPr>
        <w:t xml:space="preserve">Bảng 4: Tỷ trọng đóng góp theo Khu vực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Khu vực</w:t>
            </w:r>
          </w:p>
        </w:tc>
        <w:tc>
          <w:tcPr>
            <w:tcW w:type="dxa" w:w="17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Q1 (%)</w:t>
            </w:r>
          </w:p>
        </w:tc>
        <w:tc>
          <w:tcPr>
            <w:tcW w:type="dxa" w:w="17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Q2 (%)</w:t>
            </w:r>
          </w:p>
        </w:tc>
        <w:tc>
          <w:tcPr>
            <w:tcW w:type="dxa" w:w="17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Q3 (%)</w:t>
            </w:r>
          </w:p>
        </w:tc>
        <w:tc>
          <w:tcPr>
            <w:tcW w:type="dxa" w:w="17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Q4 (%)</w:t>
            </w:r>
          </w:p>
        </w:tc>
      </w:tr>
      <w:tr>
        <w:tc>
          <w:tcPr>
            <w:tcW w:type="dxa" w:w="24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left"/>
            </w:pPr>
            <w:r>
              <w:rPr>
                <w:rFonts w:ascii="Arial" w:cs="Arial" w:eastAsia="Arial" w:hAnsi="Arial"/>
                <w:color w:val="333333"/>
                <w:sz w:val="22"/>
                <w:szCs w:val="22"/>
              </w:rPr>
              <w:t xml:space="preserve">Miền Bắc</w:t>
            </w:r>
          </w:p>
        </w:tc>
        <w:tc>
          <w:tcPr>
            <w:tcW w:type="dxa" w:w="17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21,1%</w:t>
            </w:r>
          </w:p>
        </w:tc>
        <w:tc>
          <w:tcPr>
            <w:tcW w:type="dxa" w:w="17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21,2%</w:t>
            </w:r>
          </w:p>
        </w:tc>
        <w:tc>
          <w:tcPr>
            <w:tcW w:type="dxa" w:w="17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21,3%</w:t>
            </w:r>
          </w:p>
        </w:tc>
        <w:tc>
          <w:tcPr>
            <w:tcW w:type="dxa" w:w="17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20,6%</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color w:val="333333"/>
                <w:sz w:val="22"/>
                <w:szCs w:val="22"/>
              </w:rPr>
              <w:t xml:space="preserve">Miền Trung</w:t>
            </w:r>
          </w:p>
        </w:tc>
        <w:tc>
          <w:tcPr>
            <w:tcW w:type="dxa" w:w="17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13,3%</w:t>
            </w:r>
          </w:p>
        </w:tc>
        <w:tc>
          <w:tcPr>
            <w:tcW w:type="dxa" w:w="17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13,5%</w:t>
            </w:r>
          </w:p>
        </w:tc>
        <w:tc>
          <w:tcPr>
            <w:tcW w:type="dxa" w:w="17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13,1%</w:t>
            </w:r>
          </w:p>
        </w:tc>
        <w:tc>
          <w:tcPr>
            <w:tcW w:type="dxa" w:w="17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13,2%</w:t>
            </w:r>
          </w:p>
        </w:tc>
      </w:tr>
      <w:tr>
        <w:tc>
          <w:tcPr>
            <w:tcW w:type="dxa" w:w="24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left"/>
            </w:pPr>
            <w:r>
              <w:rPr>
                <w:rFonts w:ascii="Arial" w:cs="Arial" w:eastAsia="Arial" w:hAnsi="Arial"/>
                <w:color w:val="333333"/>
                <w:sz w:val="22"/>
                <w:szCs w:val="22"/>
              </w:rPr>
              <w:t xml:space="preserve">Miền Nam</w:t>
            </w:r>
          </w:p>
        </w:tc>
        <w:tc>
          <w:tcPr>
            <w:tcW w:type="dxa" w:w="17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42,2%</w:t>
            </w:r>
          </w:p>
        </w:tc>
        <w:tc>
          <w:tcPr>
            <w:tcW w:type="dxa" w:w="17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42,3%</w:t>
            </w:r>
          </w:p>
        </w:tc>
        <w:tc>
          <w:tcPr>
            <w:tcW w:type="dxa" w:w="17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42,6%</w:t>
            </w:r>
          </w:p>
        </w:tc>
        <w:tc>
          <w:tcPr>
            <w:tcW w:type="dxa" w:w="17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41,2%</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color w:val="333333"/>
                <w:sz w:val="22"/>
                <w:szCs w:val="22"/>
              </w:rPr>
              <w:t xml:space="preserve">Xuất khẩu</w:t>
            </w:r>
          </w:p>
        </w:tc>
        <w:tc>
          <w:tcPr>
            <w:tcW w:type="dxa" w:w="17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23,3%</w:t>
            </w:r>
          </w:p>
        </w:tc>
        <w:tc>
          <w:tcPr>
            <w:tcW w:type="dxa" w:w="17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23,1%</w:t>
            </w:r>
          </w:p>
        </w:tc>
        <w:tc>
          <w:tcPr>
            <w:tcW w:type="dxa" w:w="17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23,0%</w:t>
            </w:r>
          </w:p>
        </w:tc>
        <w:tc>
          <w:tcPr>
            <w:tcW w:type="dxa" w:w="17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25,0%</w:t>
            </w:r>
          </w:p>
        </w:tc>
      </w:tr>
    </w:tbl>
    <w:p>
      <w:r>
        <w:br w:type="page"/>
      </w:r>
    </w:p>
    <w:p>
      <w:pPr>
        <w:spacing w:after="160" w:before="320"/>
      </w:pPr>
      <w:r>
        <w:rPr>
          <w:rFonts w:ascii="Arial" w:cs="Arial" w:eastAsia="Arial" w:hAnsi="Arial"/>
          <w:b/>
          <w:bCs/>
          <w:color w:val="1E4D8C"/>
          <w:sz w:val="28"/>
          <w:szCs w:val="28"/>
        </w:rPr>
        <w:t xml:space="preserve">4. PHÂN TÍCH CHI PHÍ VÀ LỢI NHUẬN GỘP</w:t>
      </w:r>
    </w:p>
    <w:p>
      <w:pPr>
        <w:spacing w:after="80" w:before="80"/>
      </w:pPr>
      <w:r>
        <w:rPr>
          <w:rFonts w:ascii="Arial" w:cs="Arial" w:eastAsia="Arial" w:hAnsi="Arial"/>
          <w:color w:val="444444"/>
          <w:sz w:val="22"/>
          <w:szCs w:val="22"/>
        </w:rPr>
        <w:t xml:space="preserve">Song song với tăng trưởng doanh thu, công ty đã kiểm soát tốt cơ cấu chi phí. Tỷ lệ lợi nhuận gộp được duy trì ở mức cao, phản ánh hiệu quả vận hành và khả năng tối ưu hóa chuỗi cung ứng.</w:t>
      </w:r>
    </w:p>
    <w:p>
      <w:pPr>
        <w:spacing w:after="120" w:before="200"/>
      </w:pPr>
      <w:r>
        <w:rPr>
          <w:rFonts w:ascii="Arial" w:cs="Arial" w:eastAsia="Arial" w:hAnsi="Arial"/>
          <w:b/>
          <w:bCs/>
          <w:i/>
          <w:iCs/>
          <w:color w:val="333333"/>
          <w:sz w:val="22"/>
          <w:szCs w:val="22"/>
        </w:rPr>
        <w:t xml:space="preserve">Bảng 5: Chi phí và Lợi nhuận Gộp theo Quý (tỷ VND)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Chỉ tiêu</w:t>
            </w:r>
          </w:p>
        </w:tc>
        <w:tc>
          <w:tcPr>
            <w:tcW w:type="dxa" w:w="16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Q1</w:t>
            </w:r>
          </w:p>
        </w:tc>
        <w:tc>
          <w:tcPr>
            <w:tcW w:type="dxa" w:w="16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Q2</w:t>
            </w:r>
          </w:p>
        </w:tc>
        <w:tc>
          <w:tcPr>
            <w:tcW w:type="dxa" w:w="16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Q3</w:t>
            </w:r>
          </w:p>
        </w:tc>
        <w:tc>
          <w:tcPr>
            <w:tcW w:type="dxa" w:w="16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Q4</w:t>
            </w:r>
          </w:p>
        </w:tc>
      </w:tr>
      <w:tr>
        <w:tc>
          <w:tcPr>
            <w:tcW w:type="dxa" w:w="28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left"/>
            </w:pPr>
            <w:r>
              <w:rPr>
                <w:rFonts w:ascii="Arial" w:cs="Arial" w:eastAsia="Arial" w:hAnsi="Arial"/>
                <w:color w:val="333333"/>
                <w:sz w:val="22"/>
                <w:szCs w:val="22"/>
              </w:rPr>
              <w:t xml:space="preserve">Doanh thu</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450</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520</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610</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680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color w:val="333333"/>
                <w:sz w:val="22"/>
                <w:szCs w:val="22"/>
              </w:rPr>
              <w:t xml:space="preserve">Giá vốn hàng bán</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270</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305</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358</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394</w:t>
            </w:r>
          </w:p>
        </w:tc>
      </w:tr>
      <w:tr>
        <w:tc>
          <w:tcPr>
            <w:tcW w:type="dxa" w:w="28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left"/>
            </w:pPr>
            <w:r>
              <w:rPr>
                <w:rFonts w:ascii="Arial" w:cs="Arial" w:eastAsia="Arial" w:hAnsi="Arial"/>
                <w:color w:val="333333"/>
                <w:sz w:val="22"/>
                <w:szCs w:val="22"/>
              </w:rPr>
              <w:t xml:space="preserve">Lợi nhuận gộp</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180</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215</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252</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286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color w:val="333333"/>
                <w:sz w:val="22"/>
                <w:szCs w:val="22"/>
              </w:rPr>
              <w:t xml:space="preserve">Chi phí bán hàng &amp; Quản lý</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68</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78</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90</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98</w:t>
            </w:r>
          </w:p>
        </w:tc>
      </w:tr>
      <w:tr>
        <w:tc>
          <w:tcPr>
            <w:tcW w:type="dxa" w:w="28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left"/>
            </w:pPr>
            <w:r>
              <w:rPr>
                <w:rFonts w:ascii="Arial" w:cs="Arial" w:eastAsia="Arial" w:hAnsi="Arial"/>
                <w:color w:val="333333"/>
                <w:sz w:val="22"/>
                <w:szCs w:val="22"/>
              </w:rPr>
              <w:t xml:space="preserve">Lợi nhuận trước thuế</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112</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137</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162</w:t>
            </w:r>
          </w:p>
        </w:tc>
        <w:tc>
          <w:tcPr>
            <w:tcW w:type="dxa" w:w="16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188</w:t>
            </w:r>
          </w:p>
        </w:tc>
      </w:tr>
      <w:tr>
        <w:tc>
          <w:tcPr>
            <w:tcW w:type="dxa" w:w="2800"/>
            <w:tcBorders>
              <w:top w:val="single" w:color="1E4D8C" w:sz="1"/>
              <w:left w:val="single" w:color="1E4D8C" w:sz="1"/>
              <w:bottom w:val="single" w:color="1E4D8C" w:sz="1"/>
              <w:right w:val="single" w:color="1E4D8C" w:sz="1"/>
            </w:tcBorders>
            <w:shd w:fill="2E86C1"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Biên LN gộp (%)</w:t>
            </w:r>
          </w:p>
        </w:tc>
        <w:tc>
          <w:tcPr>
            <w:tcW w:type="dxa" w:w="1640"/>
            <w:tcBorders>
              <w:top w:val="single" w:color="1E4D8C" w:sz="1"/>
              <w:left w:val="single" w:color="1E4D8C" w:sz="1"/>
              <w:bottom w:val="single" w:color="1E4D8C" w:sz="1"/>
              <w:right w:val="single" w:color="1E4D8C" w:sz="1"/>
            </w:tcBorders>
            <w:shd w:fill="2E86C1"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40%</w:t>
            </w:r>
          </w:p>
        </w:tc>
        <w:tc>
          <w:tcPr>
            <w:tcW w:type="dxa" w:w="1640"/>
            <w:tcBorders>
              <w:top w:val="single" w:color="1E4D8C" w:sz="1"/>
              <w:left w:val="single" w:color="1E4D8C" w:sz="1"/>
              <w:bottom w:val="single" w:color="1E4D8C" w:sz="1"/>
              <w:right w:val="single" w:color="1E4D8C" w:sz="1"/>
            </w:tcBorders>
            <w:shd w:fill="2E86C1"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41,3%</w:t>
            </w:r>
          </w:p>
        </w:tc>
        <w:tc>
          <w:tcPr>
            <w:tcW w:type="dxa" w:w="1640"/>
            <w:tcBorders>
              <w:top w:val="single" w:color="1E4D8C" w:sz="1"/>
              <w:left w:val="single" w:color="1E4D8C" w:sz="1"/>
              <w:bottom w:val="single" w:color="1E4D8C" w:sz="1"/>
              <w:right w:val="single" w:color="1E4D8C" w:sz="1"/>
            </w:tcBorders>
            <w:shd w:fill="2E86C1"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41,3%</w:t>
            </w:r>
          </w:p>
        </w:tc>
        <w:tc>
          <w:tcPr>
            <w:tcW w:type="dxa" w:w="1640"/>
            <w:tcBorders>
              <w:top w:val="single" w:color="1E4D8C" w:sz="1"/>
              <w:left w:val="single" w:color="1E4D8C" w:sz="1"/>
              <w:bottom w:val="single" w:color="1E4D8C" w:sz="1"/>
              <w:right w:val="single" w:color="1E4D8C" w:sz="1"/>
            </w:tcBorders>
            <w:shd w:fill="2E86C1"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42,1%</w:t>
            </w:r>
          </w:p>
        </w:tc>
      </w:tr>
    </w:tbl>
    <w:p>
      <w:pPr>
        <w:spacing w:after="100" w:before="300"/>
      </w:pPr>
      <w:r>
        <w:rPr>
          <w:rFonts w:ascii="Arial" w:cs="Arial" w:eastAsia="Arial" w:hAnsi="Arial"/>
          <w:b/>
          <w:bCs/>
          <w:color w:val="1E4D8C"/>
          <w:sz w:val="22"/>
          <w:szCs w:val="22"/>
        </w:rPr>
        <w:t xml:space="preserve">Đánh giá hiệu quả:</w:t>
      </w:r>
    </w:p>
    <w:p>
      <w:pPr>
        <w:spacing w:after="80" w:before="80"/>
      </w:pPr>
      <w:r>
        <w:rPr>
          <w:rFonts w:ascii="Arial" w:cs="Arial" w:eastAsia="Arial" w:hAnsi="Arial"/>
          <w:color w:val="444444"/>
          <w:sz w:val="22"/>
          <w:szCs w:val="22"/>
        </w:rPr>
        <w:t xml:space="preserve">Biên lợi nhuận gộp tăng dần từ 40% (Q1) lên 42,1% (Q4), cho thấy hiệu quả kiểm soát chi phí ngày càng được cải thiện. Lợi nhuận trước thuế cả năm ước đạt 599 tỷ VND, tương đương tỷ lệ 26,5% trên doanh thu.</w:t>
      </w:r>
    </w:p>
    <w:p>
      <w:pPr>
        <w:spacing w:after="80" w:before="80"/>
      </w:pPr>
      <w:r>
        <w:rPr>
          <w:rFonts w:ascii="Arial" w:cs="Arial" w:eastAsia="Arial" w:hAnsi="Arial"/>
          <w:color w:val="444444"/>
          <w:sz w:val="22"/>
          <w:szCs w:val="22"/>
        </w:rPr>
        <w:t xml:space="preserve">Chi phí bán hàng và quản lý duy trì ở mức khoảng 14,4% doanh thu, phản ánh cơ cấu tổ chức tinh gọn và hiệu quả trong công tác điều hành.</w:t>
      </w:r>
    </w:p>
    <w:p>
      <w:r>
        <w:br w:type="page"/>
      </w:r>
    </w:p>
    <w:p>
      <w:pPr>
        <w:spacing w:after="160" w:before="320"/>
      </w:pPr>
      <w:r>
        <w:rPr>
          <w:rFonts w:ascii="Arial" w:cs="Arial" w:eastAsia="Arial" w:hAnsi="Arial"/>
          <w:b/>
          <w:bCs/>
          <w:color w:val="1E4D8C"/>
          <w:sz w:val="28"/>
          <w:szCs w:val="28"/>
        </w:rPr>
        <w:t xml:space="preserve">5. MỤC TIÊU VÀ KẾ HOẠCH NĂM 2026</w:t>
      </w:r>
    </w:p>
    <w:p>
      <w:pPr>
        <w:spacing w:after="80" w:before="80"/>
      </w:pPr>
      <w:r>
        <w:rPr>
          <w:rFonts w:ascii="Arial" w:cs="Arial" w:eastAsia="Arial" w:hAnsi="Arial"/>
          <w:color w:val="444444"/>
          <w:sz w:val="22"/>
          <w:szCs w:val="22"/>
        </w:rPr>
        <w:t xml:space="preserve">Dựa trên đà tăng trưởng tích cực của năm 2025, Ban lãnh đạo Công ty đặt mục tiêu tăng trưởng doanh thu năm 2026 đạt 15–18%, tương đương tổng doanh thu dự kiến từ 2.600 đến 2.670 tỷ VND.</w:t>
      </w:r>
    </w:p>
    <w:p>
      <w:pPr>
        <w:spacing w:after="120" w:before="200"/>
      </w:pPr>
      <w:r>
        <w:rPr>
          <w:rFonts w:ascii="Arial" w:cs="Arial" w:eastAsia="Arial" w:hAnsi="Arial"/>
          <w:b/>
          <w:bCs/>
          <w:i/>
          <w:iCs/>
          <w:color w:val="333333"/>
          <w:sz w:val="22"/>
          <w:szCs w:val="22"/>
        </w:rPr>
        <w:t xml:space="preserve">Bảng 6: Kế hoạch Doanh thu năm 2026 (tỷ VND)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Quý</w:t>
            </w:r>
          </w:p>
        </w:tc>
        <w:tc>
          <w:tcPr>
            <w:tcW w:type="dxa" w:w="23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Doanh thu TT 2025</w:t>
            </w:r>
          </w:p>
        </w:tc>
        <w:tc>
          <w:tcPr>
            <w:tcW w:type="dxa" w:w="23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Kế hoạch 2026</w:t>
            </w:r>
          </w:p>
        </w:tc>
        <w:tc>
          <w:tcPr>
            <w:tcW w:type="dxa" w:w="23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Mức tăng dự kiến</w:t>
            </w:r>
          </w:p>
        </w:tc>
      </w:tr>
      <w:tr>
        <w:tc>
          <w:tcPr>
            <w:tcW w:type="dxa" w:w="23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Q1 2026</w:t>
            </w:r>
          </w:p>
        </w:tc>
        <w:tc>
          <w:tcPr>
            <w:tcW w:type="dxa" w:w="23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450</w:t>
            </w:r>
          </w:p>
        </w:tc>
        <w:tc>
          <w:tcPr>
            <w:tcW w:type="dxa" w:w="23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520</w:t>
            </w:r>
          </w:p>
        </w:tc>
        <w:tc>
          <w:tcPr>
            <w:tcW w:type="dxa" w:w="23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+15,6%</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Q2 2026</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520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600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+15,4%</w:t>
            </w:r>
          </w:p>
        </w:tc>
      </w:tr>
      <w:tr>
        <w:tc>
          <w:tcPr>
            <w:tcW w:type="dxa" w:w="23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Q3 2026</w:t>
            </w:r>
          </w:p>
        </w:tc>
        <w:tc>
          <w:tcPr>
            <w:tcW w:type="dxa" w:w="23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610</w:t>
            </w:r>
          </w:p>
        </w:tc>
        <w:tc>
          <w:tcPr>
            <w:tcW w:type="dxa" w:w="23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710</w:t>
            </w:r>
          </w:p>
        </w:tc>
        <w:tc>
          <w:tcPr>
            <w:tcW w:type="dxa" w:w="234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+16,4%</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Q4 2026</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680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800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color w:val="333333"/>
                <w:sz w:val="22"/>
                <w:szCs w:val="22"/>
              </w:rPr>
              <w:t xml:space="preserve">+17,6%</w:t>
            </w:r>
          </w:p>
        </w:tc>
      </w:tr>
      <w:tr>
        <w:tc>
          <w:tcPr>
            <w:tcW w:type="dxa" w:w="23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TỔNG</w:t>
            </w:r>
          </w:p>
        </w:tc>
        <w:tc>
          <w:tcPr>
            <w:tcW w:type="dxa" w:w="23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2.260</w:t>
            </w:r>
          </w:p>
        </w:tc>
        <w:tc>
          <w:tcPr>
            <w:tcW w:type="dxa" w:w="23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2.630</w:t>
            </w:r>
          </w:p>
        </w:tc>
        <w:tc>
          <w:tcPr>
            <w:tcW w:type="dxa" w:w="23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+16,4%</w:t>
            </w:r>
          </w:p>
        </w:tc>
      </w:tr>
    </w:tbl>
    <w:p>
      <w:pPr>
        <w:spacing w:after="100" w:before="300"/>
      </w:pPr>
      <w:r>
        <w:rPr>
          <w:rFonts w:ascii="Arial" w:cs="Arial" w:eastAsia="Arial" w:hAnsi="Arial"/>
          <w:b/>
          <w:bCs/>
          <w:color w:val="1E4D8C"/>
          <w:sz w:val="22"/>
          <w:szCs w:val="22"/>
        </w:rPr>
        <w:t xml:space="preserve">Các định hướng chiến lược:</w:t>
      </w:r>
    </w:p>
    <w:p>
      <w:pPr>
        <w:spacing w:after="80" w:before="80"/>
      </w:pPr>
      <w:r>
        <w:rPr>
          <w:rFonts w:ascii="Arial" w:cs="Arial" w:eastAsia="Arial" w:hAnsi="Arial"/>
          <w:color w:val="444444"/>
          <w:sz w:val="22"/>
          <w:szCs w:val="22"/>
        </w:rPr>
        <w:t xml:space="preserve">• Mở rộng thị phần tại khu vực Miền Trung và gia tăng doanh thu xuất khẩu lên 30% tổng doanh thu.</w:t>
      </w:r>
    </w:p>
    <w:p>
      <w:pPr>
        <w:spacing w:after="80" w:before="80"/>
      </w:pPr>
      <w:r>
        <w:rPr>
          <w:rFonts w:ascii="Arial" w:cs="Arial" w:eastAsia="Arial" w:hAnsi="Arial"/>
          <w:color w:val="444444"/>
          <w:sz w:val="22"/>
          <w:szCs w:val="22"/>
        </w:rPr>
        <w:t xml:space="preserve">• Đầu tư vào chuyển đổi số, ứng dụng AI vào quy trình bán hàng và chăm sóc khách hàng.</w:t>
      </w:r>
    </w:p>
    <w:p>
      <w:pPr>
        <w:spacing w:after="80" w:before="80"/>
      </w:pPr>
      <w:r>
        <w:rPr>
          <w:rFonts w:ascii="Arial" w:cs="Arial" w:eastAsia="Arial" w:hAnsi="Arial"/>
          <w:color w:val="444444"/>
          <w:sz w:val="22"/>
          <w:szCs w:val="22"/>
        </w:rPr>
        <w:t xml:space="preserve">• Phát triển dòng Sản phẩm B – Công nghệ với 3 sản phẩm mới dự kiến ra mắt trong H1 2026.</w:t>
      </w:r>
    </w:p>
    <w:p>
      <w:pPr>
        <w:spacing w:after="80" w:before="80"/>
      </w:pPr>
      <w:r>
        <w:rPr>
          <w:rFonts w:ascii="Arial" w:cs="Arial" w:eastAsia="Arial" w:hAnsi="Arial"/>
          <w:color w:val="444444"/>
          <w:sz w:val="22"/>
          <w:szCs w:val="22"/>
        </w:rPr>
        <w:t xml:space="preserve">• Tối ưu hóa chi phí logistic và chuỗi cung ứng nhằm cải thiện biên lợi nhuận gộp lên 44%.</w:t>
      </w:r>
    </w:p>
    <w:p>
      <w:pPr>
        <w:spacing w:after="100" w:before="300"/>
      </w:pPr>
      <w:r>
        <w:rPr>
          <w:rFonts w:ascii="Arial" w:cs="Arial" w:eastAsia="Arial" w:hAnsi="Arial"/>
          <w:b/>
          <w:bCs/>
          <w:color w:val="1E4D8C"/>
          <w:sz w:val="28"/>
          <w:szCs w:val="28"/>
        </w:rPr>
        <w:t xml:space="preserve">KẾT LUẬN</w:t>
      </w:r>
    </w:p>
    <w:p>
      <w:pPr>
        <w:spacing w:after="80" w:before="80"/>
      </w:pPr>
      <w:r>
        <w:rPr>
          <w:rFonts w:ascii="Arial" w:cs="Arial" w:eastAsia="Arial" w:hAnsi="Arial"/>
          <w:color w:val="444444"/>
          <w:sz w:val="22"/>
          <w:szCs w:val="22"/>
        </w:rPr>
        <w:t xml:space="preserve">Năm 2025 là năm thành công vượt bậc của Công ty với tổng doanh thu đạt 2.260 tỷ VND và lợi nhuận trước thuế ước đạt 599 tỷ VND. Với nền tảng vững chắc được xây dựng qua năm 2025, Công ty tự tin bước vào năm 2026 với mục tiêu tăng trưởng đầy tham vọng và chiến lược phát triển bền vững, góp phần khẳng định vị thế trên thị trường trong nước và quốc tế.</w:t>
      </w:r>
    </w:p>
    <w:p>
      <w:pPr>
        <w:spacing w:after="80" w:before="400"/>
        <w:jc w:val="right"/>
      </w:pPr>
      <w:r>
        <w:rPr>
          <w:rFonts w:ascii="Arial" w:cs="Arial" w:eastAsia="Arial" w:hAnsi="Arial"/>
          <w:i/>
          <w:iCs/>
          <w:color w:val="666666"/>
          <w:sz w:val="20"/>
          <w:szCs w:val="20"/>
        </w:rPr>
        <w:t xml:space="preserve">TP. Hồ Chí Minh, tháng 04 năm 2026</w:t>
      </w:r>
    </w:p>
    <w:p>
      <w:pPr>
        <w:spacing w:after="40" w:before="40"/>
        <w:jc w:val="right"/>
      </w:pPr>
      <w:r>
        <w:rPr>
          <w:rFonts w:ascii="Arial" w:cs="Arial" w:eastAsia="Arial" w:hAnsi="Arial"/>
          <w:b/>
          <w:bCs/>
          <w:color w:val="333333"/>
          <w:sz w:val="22"/>
          <w:szCs w:val="22"/>
        </w:rPr>
        <w:t xml:space="preserve">Trưởng phòng Tài chính – Kế toán</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Tài liệu nội bộ – Phòng Tài chính Kế toán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D8C" w:sz="4" w:space="1"/>
      </w:pBdr>
      <w:spacing w:after="120"/>
      <w:jc w:val="right"/>
    </w:pPr>
    <w:r>
      <w:rPr>
        <w:rFonts w:ascii="Arial" w:cs="Arial" w:eastAsia="Arial" w:hAnsi="Arial"/>
        <w:b/>
        <w:bCs/>
        <w:color w:val="1E4D8C"/>
        <w:sz w:val="18"/>
        <w:szCs w:val="18"/>
      </w:rPr>
      <w:t xml:space="preserve">BÁO CÁO DOANH THU CÔNG TY – NĂM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2026-04-28T02:49:46.569Z</dcterms:created>
  <dcterms:modified xsi:type="dcterms:W3CDTF">2026-04-28T02:49:46.572Z</dcterms:modified>
</cp:coreProperties>
</file>

<file path=docProps/custom.xml><?xml version="1.0" encoding="utf-8"?>
<Properties xmlns="http://schemas.openxmlformats.org/officeDocument/2006/custom-properties" xmlns:vt="http://schemas.openxmlformats.org/officeDocument/2006/docPropsVTypes"/>
</file>