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0B" w:rsidRPr="00283F0B" w:rsidRDefault="00283F0B" w:rsidP="00283F0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283F0B">
        <w:rPr>
          <w:rFonts w:ascii="Times New Roman" w:hAnsi="Times New Roman" w:cs="Times New Roman"/>
          <w:sz w:val="24"/>
          <w:szCs w:val="24"/>
          <w:u w:val="single"/>
        </w:rPr>
        <w:t>Supplemental Tables</w:t>
      </w:r>
    </w:p>
    <w:p w:rsidR="00283F0B" w:rsidRPr="00283F0B" w:rsidRDefault="00283F0B" w:rsidP="00283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3F0B">
        <w:rPr>
          <w:rFonts w:ascii="Times New Roman" w:hAnsi="Times New Roman" w:cs="Times New Roman"/>
          <w:sz w:val="24"/>
          <w:szCs w:val="24"/>
        </w:rPr>
        <w:t>Supplemental Table 1.</w:t>
      </w:r>
      <w:proofErr w:type="gramEnd"/>
      <w:r w:rsidRPr="00283F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3F0B">
        <w:rPr>
          <w:rFonts w:ascii="Times New Roman" w:hAnsi="Times New Roman" w:cs="Times New Roman"/>
          <w:sz w:val="24"/>
          <w:szCs w:val="24"/>
        </w:rPr>
        <w:t>Details of antibody panel used for flow cytometry staining.</w:t>
      </w:r>
      <w:proofErr w:type="gramEnd"/>
    </w:p>
    <w:tbl>
      <w:tblPr>
        <w:tblW w:w="9524" w:type="dxa"/>
        <w:tblInd w:w="93" w:type="dxa"/>
        <w:tblLook w:val="04A0" w:firstRow="1" w:lastRow="0" w:firstColumn="1" w:lastColumn="0" w:noHBand="0" w:noVBand="1"/>
      </w:tblPr>
      <w:tblGrid>
        <w:gridCol w:w="3486"/>
        <w:gridCol w:w="1638"/>
        <w:gridCol w:w="1695"/>
        <w:gridCol w:w="2705"/>
      </w:tblGrid>
      <w:tr w:rsidR="00283F0B" w:rsidRPr="00283F0B" w:rsidTr="00950322">
        <w:trPr>
          <w:trHeight w:val="325"/>
        </w:trPr>
        <w:tc>
          <w:tcPr>
            <w:tcW w:w="34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Antibody Panels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Antibody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83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Fluorochrome</w:t>
            </w:r>
            <w:proofErr w:type="spellEnd"/>
          </w:p>
        </w:tc>
        <w:tc>
          <w:tcPr>
            <w:tcW w:w="27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Clone (Manufacturer)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Monocytes and dendritic cells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CD16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FITC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3G8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CD11b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ICRF44 (</w:t>
            </w:r>
            <w:proofErr w:type="spellStart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eBioscience</w:t>
            </w:r>
            <w:proofErr w:type="spellEnd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CD192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AF647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48607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PECy7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M5E2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CD11c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PECy5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B-ly6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HLADR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APCeF780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LN3 (</w:t>
            </w:r>
            <w:proofErr w:type="spellStart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eBioscience</w:t>
            </w:r>
            <w:proofErr w:type="spellEnd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cytokines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IFNg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PECy7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4S.B3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TNFa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APC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MAb11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RPA-T8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PerCPC5.5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SK7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FITC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RPA-T4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T-cell activation and proliferation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APC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SK7 (Becton Dickinson)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PerCPCy5.5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SK1 (</w:t>
            </w:r>
            <w:proofErr w:type="spellStart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Biolegend</w:t>
            </w:r>
            <w:proofErr w:type="spellEnd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CD38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HB-7 (</w:t>
            </w:r>
            <w:proofErr w:type="spellStart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Biolegend</w:t>
            </w:r>
            <w:proofErr w:type="spellEnd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APCeF780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LN3 (</w:t>
            </w:r>
            <w:proofErr w:type="spellStart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eBioscience</w:t>
            </w:r>
            <w:proofErr w:type="spellEnd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Ki67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PECy7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Ki-67 (</w:t>
            </w:r>
            <w:proofErr w:type="spellStart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Biolegend</w:t>
            </w:r>
            <w:proofErr w:type="spellEnd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283F0B" w:rsidRPr="00283F0B" w:rsidTr="00950322">
        <w:trPr>
          <w:trHeight w:val="310"/>
        </w:trPr>
        <w:tc>
          <w:tcPr>
            <w:tcW w:w="3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Bcl2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AF488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:rsidR="00283F0B" w:rsidRPr="00283F0B" w:rsidRDefault="00283F0B" w:rsidP="00283F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F0B">
              <w:rPr>
                <w:rFonts w:ascii="Times New Roman" w:eastAsia="Times New Roman" w:hAnsi="Times New Roman" w:cs="Times New Roman"/>
                <w:color w:val="000000"/>
              </w:rPr>
              <w:t>100 (</w:t>
            </w:r>
            <w:proofErr w:type="spellStart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Biolegend</w:t>
            </w:r>
            <w:proofErr w:type="spellEnd"/>
            <w:r w:rsidRPr="00283F0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</w:tbl>
    <w:p w:rsidR="00283F0B" w:rsidRPr="00283F0B" w:rsidRDefault="00283F0B" w:rsidP="00283F0B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83F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283F0B" w:rsidRPr="00283F0B" w:rsidRDefault="00283F0B" w:rsidP="00283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3F0B">
        <w:rPr>
          <w:rFonts w:ascii="Times New Roman" w:hAnsi="Times New Roman" w:cs="Times New Roman"/>
          <w:sz w:val="24"/>
          <w:szCs w:val="24"/>
        </w:rPr>
        <w:lastRenderedPageBreak/>
        <w:t>Supplemental Table 2.</w:t>
      </w:r>
      <w:proofErr w:type="gramEnd"/>
      <w:r w:rsidRPr="00283F0B">
        <w:rPr>
          <w:rFonts w:ascii="Times New Roman" w:hAnsi="Times New Roman" w:cs="Times New Roman"/>
          <w:sz w:val="24"/>
          <w:szCs w:val="24"/>
        </w:rPr>
        <w:t xml:space="preserve"> Log</w:t>
      </w:r>
      <w:r w:rsidRPr="00283F0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83F0B">
        <w:rPr>
          <w:rFonts w:ascii="Times New Roman" w:hAnsi="Times New Roman" w:cs="Times New Roman"/>
          <w:sz w:val="24"/>
          <w:szCs w:val="24"/>
        </w:rPr>
        <w:t>-transformed mean and standard deviation of the individual cytokines for ILI and SARI influenza at the acute and convalescence time-point</w:t>
      </w:r>
      <w:r w:rsidR="009C5E00">
        <w:rPr>
          <w:rFonts w:ascii="Times New Roman" w:hAnsi="Times New Roman" w:cs="Times New Roman"/>
          <w:sz w:val="24"/>
          <w:szCs w:val="24"/>
        </w:rPr>
        <w:t xml:space="preserve"> (see attached file)</w:t>
      </w:r>
      <w:r w:rsidRPr="00283F0B">
        <w:rPr>
          <w:rFonts w:ascii="Times New Roman" w:hAnsi="Times New Roman" w:cs="Times New Roman"/>
          <w:sz w:val="24"/>
          <w:szCs w:val="24"/>
        </w:rPr>
        <w:t>.</w:t>
      </w:r>
    </w:p>
    <w:p w:rsidR="00283F0B" w:rsidRPr="00283F0B" w:rsidRDefault="00283F0B" w:rsidP="00283F0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83F0B">
        <w:rPr>
          <w:rFonts w:ascii="Times New Roman" w:hAnsi="Times New Roman" w:cs="Times New Roman"/>
          <w:sz w:val="24"/>
          <w:szCs w:val="24"/>
          <w:u w:val="single"/>
        </w:rPr>
        <w:t>Supplemental Figure</w:t>
      </w:r>
    </w:p>
    <w:p w:rsidR="00283F0B" w:rsidRPr="00283F0B" w:rsidRDefault="00283F0B" w:rsidP="00283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F0B">
        <w:rPr>
          <w:rFonts w:ascii="Times New Roman" w:hAnsi="Times New Roman" w:cs="Times New Roman"/>
          <w:sz w:val="24"/>
          <w:szCs w:val="24"/>
        </w:rPr>
        <w:t>Supplemental Figure 1: Differences in acute phase nasal viral load and antibody profile in ILI (black) and SARI (red) influenza cases. (A) Nasal viral load was determined based on the cycle-threshold (Ct)-value that quantitatively determines the viral RNA copy number in the nasal swab obtained upon enrolment</w:t>
      </w:r>
      <w:r w:rsidR="00B20DB2">
        <w:rPr>
          <w:rFonts w:ascii="Times New Roman" w:hAnsi="Times New Roman" w:cs="Times New Roman"/>
          <w:sz w:val="24"/>
          <w:szCs w:val="24"/>
        </w:rPr>
        <w:t xml:space="preserve"> for patients with available data</w:t>
      </w:r>
      <w:r w:rsidRPr="00283F0B">
        <w:rPr>
          <w:rFonts w:ascii="Times New Roman" w:hAnsi="Times New Roman" w:cs="Times New Roman"/>
          <w:sz w:val="24"/>
          <w:szCs w:val="24"/>
        </w:rPr>
        <w:t xml:space="preserve">. Line represents mean ± standard deviation. (B) Antibody profile was determined based on </w:t>
      </w:r>
      <w:proofErr w:type="spellStart"/>
      <w:r w:rsidRPr="00283F0B">
        <w:rPr>
          <w:rFonts w:ascii="Times New Roman" w:hAnsi="Times New Roman" w:cs="Times New Roman"/>
          <w:sz w:val="24"/>
          <w:szCs w:val="24"/>
        </w:rPr>
        <w:t>hemaglutination</w:t>
      </w:r>
      <w:proofErr w:type="spellEnd"/>
      <w:r w:rsidRPr="00283F0B">
        <w:rPr>
          <w:rFonts w:ascii="Times New Roman" w:hAnsi="Times New Roman" w:cs="Times New Roman"/>
          <w:sz w:val="24"/>
          <w:szCs w:val="24"/>
        </w:rPr>
        <w:t xml:space="preserve">-inhibition (HAI) titers, neuraminidase-inhibition (NAI) titers and influenza-specific IgG and IgM titers. Line indicates sample median. </w:t>
      </w:r>
    </w:p>
    <w:p w:rsidR="00283F0B" w:rsidRPr="00283F0B" w:rsidRDefault="00283F0B" w:rsidP="00283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F0B">
        <w:rPr>
          <w:rFonts w:ascii="Times New Roman" w:hAnsi="Times New Roman" w:cs="Times New Roman"/>
          <w:sz w:val="24"/>
          <w:szCs w:val="24"/>
        </w:rPr>
        <w:t>Supplemental Figure 2: Graphical representation of the individual cytokines, grouped according to ILI and SARI influenza cases at acute or convalescence (conv). Y-axis denotes concentration of cytokine on a log</w:t>
      </w:r>
      <w:r w:rsidRPr="00283F0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83F0B">
        <w:rPr>
          <w:rFonts w:ascii="Times New Roman" w:hAnsi="Times New Roman" w:cs="Times New Roman"/>
          <w:sz w:val="24"/>
          <w:szCs w:val="24"/>
        </w:rPr>
        <w:t xml:space="preserve">-scale. The bars represent the 95% confidence-interval of the calculated mean. </w:t>
      </w:r>
    </w:p>
    <w:p w:rsidR="00283F0B" w:rsidRPr="00283F0B" w:rsidRDefault="00283F0B" w:rsidP="00283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3F0B" w:rsidRPr="00283F0B" w:rsidRDefault="00283F0B" w:rsidP="00283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83F0B" w:rsidRPr="00283F0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F0B" w:rsidRDefault="00283F0B" w:rsidP="00283F0B">
      <w:pPr>
        <w:spacing w:after="0" w:line="240" w:lineRule="auto"/>
      </w:pPr>
      <w:r>
        <w:separator/>
      </w:r>
    </w:p>
  </w:endnote>
  <w:endnote w:type="continuationSeparator" w:id="0">
    <w:p w:rsidR="00283F0B" w:rsidRDefault="00283F0B" w:rsidP="0028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4875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F0B" w:rsidRDefault="00283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2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1ECA" w:rsidRDefault="000A4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F0B" w:rsidRDefault="00283F0B" w:rsidP="00283F0B">
      <w:pPr>
        <w:spacing w:after="0" w:line="240" w:lineRule="auto"/>
      </w:pPr>
      <w:r>
        <w:separator/>
      </w:r>
    </w:p>
  </w:footnote>
  <w:footnote w:type="continuationSeparator" w:id="0">
    <w:p w:rsidR="00283F0B" w:rsidRDefault="00283F0B" w:rsidP="00283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21639"/>
    <w:multiLevelType w:val="hybridMultilevel"/>
    <w:tmpl w:val="78B8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20B9A"/>
    <w:multiLevelType w:val="hybridMultilevel"/>
    <w:tmpl w:val="248A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83F0B"/>
    <w:rsid w:val="000A42DE"/>
    <w:rsid w:val="001D322E"/>
    <w:rsid w:val="00283F0B"/>
    <w:rsid w:val="00311B62"/>
    <w:rsid w:val="00320624"/>
    <w:rsid w:val="003B1C13"/>
    <w:rsid w:val="004F070A"/>
    <w:rsid w:val="008304DE"/>
    <w:rsid w:val="00986607"/>
    <w:rsid w:val="009C5E00"/>
    <w:rsid w:val="00B20DB2"/>
    <w:rsid w:val="00BA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3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3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3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3F0B"/>
    <w:pPr>
      <w:ind w:left="720"/>
      <w:contextualSpacing/>
    </w:pPr>
  </w:style>
  <w:style w:type="paragraph" w:styleId="Revision">
    <w:name w:val="Revision"/>
    <w:hidden/>
    <w:uiPriority w:val="99"/>
    <w:semiHidden/>
    <w:rsid w:val="00283F0B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283F0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3F0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83F0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3F0B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283F0B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83F0B"/>
  </w:style>
  <w:style w:type="paragraph" w:styleId="Header">
    <w:name w:val="header"/>
    <w:basedOn w:val="Normal"/>
    <w:link w:val="HeaderChar"/>
    <w:uiPriority w:val="99"/>
    <w:unhideWhenUsed/>
    <w:rsid w:val="0028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F0B"/>
  </w:style>
  <w:style w:type="paragraph" w:styleId="Footer">
    <w:name w:val="footer"/>
    <w:basedOn w:val="Normal"/>
    <w:link w:val="FooterChar"/>
    <w:uiPriority w:val="99"/>
    <w:unhideWhenUsed/>
    <w:rsid w:val="0028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3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3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3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3F0B"/>
    <w:pPr>
      <w:ind w:left="720"/>
      <w:contextualSpacing/>
    </w:pPr>
  </w:style>
  <w:style w:type="paragraph" w:styleId="Revision">
    <w:name w:val="Revision"/>
    <w:hidden/>
    <w:uiPriority w:val="99"/>
    <w:semiHidden/>
    <w:rsid w:val="00283F0B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283F0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3F0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83F0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3F0B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283F0B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83F0B"/>
  </w:style>
  <w:style w:type="paragraph" w:styleId="Header">
    <w:name w:val="header"/>
    <w:basedOn w:val="Normal"/>
    <w:link w:val="HeaderChar"/>
    <w:uiPriority w:val="99"/>
    <w:unhideWhenUsed/>
    <w:rsid w:val="0028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F0B"/>
  </w:style>
  <w:style w:type="paragraph" w:styleId="Footer">
    <w:name w:val="footer"/>
    <w:basedOn w:val="Normal"/>
    <w:link w:val="FooterChar"/>
    <w:uiPriority w:val="99"/>
    <w:unhideWhenUsed/>
    <w:rsid w:val="0028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1632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SJCRH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Sook-San</dc:creator>
  <cp:lastModifiedBy>Sharath M. babu</cp:lastModifiedBy>
  <cp:revision>3</cp:revision>
  <dcterms:created xsi:type="dcterms:W3CDTF">2017-10-19T22:53:00Z</dcterms:created>
  <dcterms:modified xsi:type="dcterms:W3CDTF">2017-10-27T06:58:00Z</dcterms:modified>
</cp:coreProperties>
</file>