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F946" w14:textId="305175DB" w:rsidR="00D10001" w:rsidRDefault="00AE20E3" w:rsidP="00D10001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D10001">
        <w:rPr>
          <w:rFonts w:eastAsia="Times New Roman" w:cs="Times New Roman"/>
          <w:color w:val="000000"/>
          <w:shd w:val="clear" w:color="auto" w:fill="FFFFFF"/>
        </w:rPr>
        <w:t>Flu 09 Summary:</w:t>
      </w:r>
    </w:p>
    <w:p w14:paraId="7B19D8EE" w14:textId="77777777" w:rsidR="00D10001" w:rsidRDefault="00D10001" w:rsidP="00D10001">
      <w:pPr>
        <w:rPr>
          <w:rFonts w:eastAsia="Times New Roman" w:cs="Times New Roman"/>
          <w:color w:val="000000"/>
          <w:shd w:val="clear" w:color="auto" w:fill="FFFFFF"/>
        </w:rPr>
      </w:pPr>
    </w:p>
    <w:p w14:paraId="29A41CBF" w14:textId="77777777" w:rsidR="00D10001" w:rsidRDefault="00D10001" w:rsidP="00D10001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73 individuals with flu like symptoms and 126 of their household contacts were enrolled during the 2009-2010 and 2010-2011 flu seasons. </w:t>
      </w:r>
    </w:p>
    <w:p w14:paraId="17EF8FA6" w14:textId="77777777" w:rsidR="00D10001" w:rsidRDefault="00D10001" w:rsidP="00D10001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Index cases (N=56) are individuals who displayed influenza-like symptoms within 96 hours of enrollment that were confirmed influenza virus positive by RT-PCR in a nasal swab at Day 0 (day of enrollment). </w:t>
      </w:r>
    </w:p>
    <w:p w14:paraId="5C6698FD" w14:textId="77777777" w:rsidR="00D10001" w:rsidRDefault="00D10001" w:rsidP="00D10001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Converted flu-positive contacts (N=13) are household contacts of index cases that enrolled in the study with no symptoms and provided samples at Day 0 </w:t>
      </w:r>
      <w:r>
        <w:t>(day of enrollment)</w:t>
      </w:r>
      <w:r>
        <w:rPr>
          <w:rFonts w:eastAsia="Times New Roman" w:cs="Times New Roman"/>
          <w:color w:val="000000"/>
          <w:shd w:val="clear" w:color="auto" w:fill="FFFFFF"/>
        </w:rPr>
        <w:t xml:space="preserve"> that were confirmed to be influenza virus negative. These individuals</w:t>
      </w:r>
      <w:r>
        <w:t xml:space="preserve"> tested influenza positive by RT-PCR after Day 0.  </w:t>
      </w:r>
    </w:p>
    <w:p w14:paraId="6707F8E6" w14:textId="77777777" w:rsidR="00D10001" w:rsidRDefault="00D10001" w:rsidP="00D10001">
      <w:r>
        <w:rPr>
          <w:rFonts w:eastAsia="Times New Roman" w:cs="Times New Roman"/>
          <w:color w:val="000000"/>
          <w:shd w:val="clear" w:color="auto" w:fill="FFFFFF"/>
        </w:rPr>
        <w:t xml:space="preserve">Index case participants </w:t>
      </w:r>
      <w:r>
        <w:t xml:space="preserve">provided nasal swabs, nasal lavages and blood on day of enrollment (d0) and at days 3, 7, 10 and 28. Converted flu-positive contact cases provided nasal swabs, nasal lavages and blood on day of enrollment (d0) and at days 3, 7 and 14. </w:t>
      </w:r>
    </w:p>
    <w:p w14:paraId="37E48B56" w14:textId="77777777" w:rsidR="00D10001" w:rsidRDefault="00D10001" w:rsidP="00D10001">
      <w:r>
        <w:t xml:space="preserve">Participants were asked to score severity of symptoms based on a visual analog scale. </w:t>
      </w:r>
    </w:p>
    <w:p w14:paraId="55C23EC7" w14:textId="77777777" w:rsidR="00D10001" w:rsidRDefault="00D10001" w:rsidP="00D10001">
      <w:r>
        <w:t xml:space="preserve">Flow cytometry was done on PBMCs and nasal lavage cells for surface expression of CD14, CD16 and HLA-DR (MHCII) to quantify monocytes and monocyte activations. Single stain and fluorescence-minus one controls were performed. </w:t>
      </w:r>
    </w:p>
    <w:p w14:paraId="17EF3EA6" w14:textId="77777777" w:rsidR="00D10001" w:rsidRDefault="00D10001" w:rsidP="00D10001">
      <w:r>
        <w:t xml:space="preserve">Viral load was determined in the nasal swabs by </w:t>
      </w:r>
      <w:proofErr w:type="spellStart"/>
      <w:r>
        <w:t>qRT</w:t>
      </w:r>
      <w:proofErr w:type="spellEnd"/>
      <w:r>
        <w:t>-PCR.</w:t>
      </w:r>
    </w:p>
    <w:p w14:paraId="50431E6D" w14:textId="77777777" w:rsidR="00D10001" w:rsidRDefault="00D10001" w:rsidP="00D10001">
      <w:r>
        <w:t xml:space="preserve">Cytokine analysis was performed by </w:t>
      </w:r>
      <w:proofErr w:type="spellStart"/>
      <w:r>
        <w:t>Milliplex</w:t>
      </w:r>
      <w:proofErr w:type="spellEnd"/>
      <w:r>
        <w:t xml:space="preserve"> MAP human cytokine immunoassay in nasal lavage and plasma samples. The panel of 39</w:t>
      </w:r>
      <w:r>
        <w:softHyphen/>
      </w:r>
      <w:r>
        <w:softHyphen/>
        <w:t xml:space="preserve"> cytokines and chemokines included VEGF, TNF</w:t>
      </w:r>
      <w:r>
        <w:sym w:font="Symbol" w:char="F061"/>
      </w:r>
      <w:r>
        <w:t>, TNF</w:t>
      </w:r>
      <w:r>
        <w:sym w:font="Symbol" w:char="F062"/>
      </w:r>
      <w:r>
        <w:t>, TGF</w:t>
      </w:r>
      <w:r>
        <w:sym w:font="Symbol" w:char="F061"/>
      </w:r>
      <w:r>
        <w:t>, sIL2R</w:t>
      </w:r>
      <w:r>
        <w:sym w:font="Symbol" w:char="F061"/>
      </w:r>
      <w:r>
        <w:t>, sCD40L, MP1</w:t>
      </w:r>
      <w:r>
        <w:sym w:font="Symbol" w:char="F061"/>
      </w:r>
      <w:r>
        <w:t>, MP1</w:t>
      </w:r>
      <w:r>
        <w:sym w:font="Symbol" w:char="F062"/>
      </w:r>
      <w:r>
        <w:t>, MDC, MCP1, MCP3, IP10, IL17, IL15, IL13, IL12p40, IL12p70, IL10, IL9, IL9. IL7, IL6, IL5, IL4, IL3, IL2, IL1Ra2, IL1</w:t>
      </w:r>
      <w:r>
        <w:sym w:font="Symbol" w:char="F061"/>
      </w:r>
      <w:r>
        <w:t>, IL1</w:t>
      </w:r>
      <w:r>
        <w:sym w:font="Symbol" w:char="F062"/>
      </w:r>
      <w:r>
        <w:t>, IFN</w:t>
      </w:r>
      <w:r>
        <w:sym w:font="Symbol" w:char="F067"/>
      </w:r>
      <w:r>
        <w:t>, IFN</w:t>
      </w:r>
      <w:r>
        <w:sym w:font="Symbol" w:char="F061"/>
      </w:r>
      <w:r>
        <w:t xml:space="preserve">2, GRO, GM-CSF, G-CSF, FKN, Flt3Ligand, FGF2, </w:t>
      </w:r>
      <w:proofErr w:type="spellStart"/>
      <w:r>
        <w:t>Eotaxin</w:t>
      </w:r>
      <w:proofErr w:type="spellEnd"/>
      <w:r>
        <w:t>, and EGF.</w:t>
      </w:r>
    </w:p>
    <w:p w14:paraId="39F31750" w14:textId="77777777" w:rsidR="00D10001" w:rsidRDefault="00D10001" w:rsidP="00D10001"/>
    <w:p w14:paraId="3DD21820" w14:textId="77777777" w:rsidR="00D10001" w:rsidRDefault="00D10001" w:rsidP="00D10001"/>
    <w:p w14:paraId="3FF46914" w14:textId="77777777" w:rsidR="00D10001" w:rsidRDefault="00D10001" w:rsidP="00D10001">
      <w:pPr>
        <w:rPr>
          <w:rFonts w:eastAsia="Times New Roman" w:cs="Times New Roman"/>
          <w:color w:val="000000"/>
          <w:shd w:val="clear" w:color="auto" w:fill="FFFFFF"/>
        </w:rPr>
      </w:pPr>
      <w:r w:rsidRPr="000F0CF5">
        <w:rPr>
          <w:rFonts w:eastAsia="Times New Roman" w:cs="Times New Roman"/>
          <w:color w:val="000000"/>
          <w:shd w:val="clear" w:color="auto" w:fill="FFFFFF"/>
        </w:rPr>
        <w:t>Am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J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Respir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Crit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Care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Med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Vol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189,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0F0CF5">
        <w:rPr>
          <w:rFonts w:eastAsia="Times New Roman" w:cs="Times New Roman"/>
          <w:color w:val="000000"/>
          <w:shd w:val="clear" w:color="auto" w:fill="FFFFFF"/>
        </w:rPr>
        <w:t>Iss</w:t>
      </w:r>
      <w:proofErr w:type="spellEnd"/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4,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pp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449–462,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Feb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15,</w:t>
      </w:r>
      <w:r w:rsidRPr="000F0CF5">
        <w:rPr>
          <w:rFonts w:eastAsia="Times New Roman" w:cs="Times New Roman"/>
          <w:shd w:val="clear" w:color="auto" w:fill="FFFFFF"/>
        </w:rPr>
        <w:t xml:space="preserve"> </w:t>
      </w:r>
      <w:r w:rsidRPr="000F0CF5">
        <w:rPr>
          <w:rFonts w:eastAsia="Times New Roman" w:cs="Times New Roman"/>
          <w:color w:val="000000"/>
          <w:shd w:val="clear" w:color="auto" w:fill="FFFFFF"/>
        </w:rPr>
        <w:t>2014</w:t>
      </w:r>
    </w:p>
    <w:p w14:paraId="1E6FFBDC" w14:textId="77777777" w:rsidR="00FD5C9A" w:rsidRDefault="00CE2592"/>
    <w:sectPr w:rsidR="00FD5C9A" w:rsidSect="0011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001"/>
    <w:rsid w:val="001175FE"/>
    <w:rsid w:val="00305849"/>
    <w:rsid w:val="00AE20E3"/>
    <w:rsid w:val="00D1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C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0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Amanda P</dc:creator>
  <cp:keywords/>
  <dc:description/>
  <cp:lastModifiedBy>_ _</cp:lastModifiedBy>
  <cp:revision>2</cp:revision>
  <dcterms:created xsi:type="dcterms:W3CDTF">2017-09-18T23:03:00Z</dcterms:created>
  <dcterms:modified xsi:type="dcterms:W3CDTF">2023-01-14T04:10:00Z</dcterms:modified>
</cp:coreProperties>
</file>