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04B1A" w:rsidP="714C8BE8" w:rsidRDefault="00804B1A" w14:paraId="57C5B057" w14:textId="576736EE">
      <w:pPr>
        <w:rPr>
          <w:b w:val="1"/>
          <w:bCs w:val="1"/>
        </w:rPr>
      </w:pPr>
      <w:r w:rsidRPr="714C8BE8" w:rsidR="00804B1A">
        <w:rPr>
          <w:b w:val="1"/>
          <w:bCs w:val="1"/>
        </w:rPr>
        <w:t>Flu09</w:t>
      </w:r>
      <w:r w:rsidRPr="714C8BE8" w:rsidR="3FDBC8AC">
        <w:rPr>
          <w:b w:val="1"/>
          <w:bCs w:val="1"/>
        </w:rPr>
        <w:t xml:space="preserve"> (Memphis Cohort)</w:t>
      </w:r>
    </w:p>
    <w:p w:rsidR="70F2BA53" w:rsidP="714C8BE8" w:rsidRDefault="70F2BA53" w14:paraId="1622913B" w14:textId="06775CE0">
      <w:pPr>
        <w:pStyle w:val="Normal"/>
      </w:pPr>
      <w:r w:rsidR="70F2BA53">
        <w:rPr/>
        <w:t xml:space="preserve">Fulltext </w:t>
      </w:r>
      <w:r w:rsidR="70F2BA53">
        <w:rPr/>
        <w:t xml:space="preserve">link: </w:t>
      </w:r>
      <w:hyperlink r:id="Ra6f11623a54c4ea8">
        <w:r w:rsidRPr="714C8BE8" w:rsidR="3246CC66">
          <w:rPr>
            <w:rStyle w:val="Hyperlink"/>
          </w:rPr>
          <w:t>https://www.frontiersin.org/articles/10.3389/fimmu.2017.01423/full</w:t>
        </w:r>
      </w:hyperlink>
    </w:p>
    <w:p w:rsidR="44ACF785" w:rsidP="714C8BE8" w:rsidRDefault="44ACF785" w14:paraId="125744EA" w14:textId="785C461D">
      <w:pPr>
        <w:pStyle w:val="Normal"/>
      </w:pPr>
      <w:r w:rsidR="44ACF785">
        <w:rPr/>
        <w:t xml:space="preserve">DOI Link: </w:t>
      </w:r>
      <w:hyperlink r:id="Race6e8cd2d9c46ba">
        <w:r w:rsidRPr="714C8BE8" w:rsidR="3246CC66">
          <w:rPr>
            <w:rStyle w:val="Hyperlink"/>
          </w:rPr>
          <w:t>https://doi.org/10.3389/fimmu.2017.01423</w:t>
        </w:r>
      </w:hyperlink>
    </w:p>
    <w:p w:rsidR="298ADAB6" w:rsidP="714C8BE8" w:rsidRDefault="298ADAB6" w14:paraId="1124D096" w14:textId="6E240603">
      <w:pPr>
        <w:pStyle w:val="Normal"/>
        <w:ind w:left="0"/>
      </w:pPr>
      <w:r w:rsidR="298ADAB6">
        <w:rPr/>
        <w:t>Case Type can be inferred from Flu09 Viral Loads. Other limited healing possible, but a complete metadata “spine” for the database, covering Age, Sex, and Case Type, would enable multiple analyses.</w:t>
      </w:r>
    </w:p>
    <w:p w:rsidR="00804B1A" w:rsidP="00804B1A" w:rsidRDefault="00804B1A" w14:paraId="4FC3412D" w14:textId="77777777">
      <w:pPr>
        <w:pStyle w:val="ListParagraph"/>
        <w:numPr>
          <w:ilvl w:val="0"/>
          <w:numId w:val="1"/>
        </w:numPr>
        <w:rPr/>
      </w:pPr>
      <w:r w:rsidR="00804B1A">
        <w:rPr/>
        <w:t xml:space="preserve">Cell quantifications </w:t>
      </w:r>
    </w:p>
    <w:p w:rsidR="00804B1A" w:rsidP="00804B1A" w:rsidRDefault="00804B1A" w14:paraId="10A838B6" w14:textId="35D32BBF">
      <w:pPr>
        <w:pStyle w:val="ListParagraph"/>
        <w:numPr>
          <w:ilvl w:val="1"/>
          <w:numId w:val="1"/>
        </w:numPr>
        <w:rPr/>
      </w:pPr>
      <w:r w:rsidR="382930A8">
        <w:rPr/>
        <w:t>P</w:t>
      </w:r>
      <w:r w:rsidR="00804B1A">
        <w:rPr/>
        <w:t xml:space="preserve">oints are contacts, not primary cases. </w:t>
      </w:r>
    </w:p>
    <w:p w:rsidR="00804B1A" w:rsidP="00804B1A" w:rsidRDefault="00804B1A" w14:paraId="76E8306B" w14:textId="77777777">
      <w:pPr>
        <w:pStyle w:val="ListParagraph"/>
        <w:numPr>
          <w:ilvl w:val="1"/>
          <w:numId w:val="1"/>
        </w:numPr>
      </w:pPr>
      <w:r>
        <w:t>All time points are at 0 Study Day</w:t>
      </w:r>
    </w:p>
    <w:p w:rsidR="00804B1A" w:rsidP="00804B1A" w:rsidRDefault="00804B1A" w14:paraId="44967F11" w14:textId="6CDD4F43">
      <w:pPr>
        <w:pStyle w:val="ListParagraph"/>
        <w:numPr>
          <w:ilvl w:val="1"/>
          <w:numId w:val="1"/>
        </w:numPr>
        <w:rPr/>
      </w:pPr>
      <w:r w:rsidR="00804B1A">
        <w:rPr/>
        <w:t xml:space="preserve">Cells by Age </w:t>
      </w:r>
    </w:p>
    <w:p w:rsidR="00804B1A" w:rsidP="00804B1A" w:rsidRDefault="00804B1A" w14:paraId="5C95954D" w14:textId="56046982">
      <w:pPr>
        <w:pStyle w:val="ListParagraph"/>
        <w:numPr>
          <w:ilvl w:val="2"/>
          <w:numId w:val="1"/>
        </w:numPr>
        <w:rPr/>
      </w:pPr>
      <w:r w:rsidR="0C33DC81">
        <w:rPr/>
        <w:t>B</w:t>
      </w:r>
      <w:r w:rsidR="00804B1A">
        <w:rPr/>
        <w:t xml:space="preserve">ins: </w:t>
      </w:r>
      <w:r w:rsidR="00804B1A">
        <w:rPr/>
        <w:t>['0-12', '13-18', '18-45', '45+ years']</w:t>
      </w:r>
    </w:p>
    <w:p w:rsidR="234EA4DF" w:rsidP="714C8BE8" w:rsidRDefault="234EA4DF" w14:paraId="02F644C6" w14:textId="0C51F968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714C8BE8" w:rsidR="234EA4DF">
        <w:rPr>
          <w:noProof w:val="0"/>
          <w:lang w:val="en-US"/>
        </w:rPr>
        <w:t xml:space="preserve">Link: </w:t>
      </w:r>
      <w:hyperlink r:id="Rde50bd69ac6c4126">
        <w:r w:rsidRPr="714C8BE8" w:rsidR="234EA4DF">
          <w:rPr>
            <w:rStyle w:val="Hyperlink"/>
            <w:noProof w:val="0"/>
            <w:lang w:val="en-US"/>
          </w:rPr>
          <w:t>CellPhenotypes</w:t>
        </w:r>
      </w:hyperlink>
    </w:p>
    <w:p w:rsidR="234EA4DF" w:rsidP="714C8BE8" w:rsidRDefault="234EA4DF" w14:paraId="13DED761" w14:textId="009F8B0A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714C8BE8" w:rsidR="234EA4DF">
        <w:rPr>
          <w:noProof w:val="0"/>
          <w:lang w:val="en-US"/>
        </w:rPr>
        <w:t>Example:</w:t>
      </w:r>
    </w:p>
    <w:p w:rsidR="234EA4DF" w:rsidP="714C8BE8" w:rsidRDefault="234EA4DF" w14:paraId="068B5B65" w14:textId="028772FC">
      <w:pPr>
        <w:pStyle w:val="Normal"/>
        <w:ind w:left="0"/>
      </w:pPr>
      <w:r w:rsidR="234EA4DF">
        <w:drawing>
          <wp:inline wp14:editId="7DF79FBB" wp14:anchorId="3033FE6D">
            <wp:extent cx="4572000" cy="3800475"/>
            <wp:effectExtent l="0" t="0" r="0" b="0"/>
            <wp:docPr id="1052848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362e261f747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1A" w:rsidP="714C8BE8" w:rsidRDefault="00804B1A" w14:paraId="230460BD" w14:textId="1270F37C">
      <w:pPr>
        <w:pStyle w:val="Normal"/>
        <w:ind w:left="0"/>
        <w:rPr>
          <w:b w:val="1"/>
          <w:bCs w:val="1"/>
        </w:rPr>
      </w:pPr>
      <w:r w:rsidRPr="714C8BE8" w:rsidR="00804B1A">
        <w:rPr>
          <w:b w:val="1"/>
          <w:bCs w:val="1"/>
        </w:rPr>
        <w:t>G</w:t>
      </w:r>
      <w:r w:rsidRPr="714C8BE8" w:rsidR="16411E4A">
        <w:rPr>
          <w:b w:val="1"/>
          <w:bCs w:val="1"/>
        </w:rPr>
        <w:t>ene Expression</w:t>
      </w:r>
      <w:r w:rsidRPr="714C8BE8" w:rsidR="00804B1A">
        <w:rPr>
          <w:b w:val="1"/>
          <w:bCs w:val="1"/>
        </w:rPr>
        <w:t xml:space="preserve"> with Metadata</w:t>
      </w:r>
    </w:p>
    <w:p w:rsidR="00804B1A" w:rsidP="00804B1A" w:rsidRDefault="00804B1A" w14:paraId="127D9316" w14:textId="01415DD3">
      <w:pPr>
        <w:pStyle w:val="ListParagraph"/>
        <w:numPr>
          <w:ilvl w:val="0"/>
          <w:numId w:val="2"/>
        </w:numPr>
        <w:rPr/>
      </w:pPr>
      <w:r w:rsidR="00804B1A">
        <w:rPr/>
        <w:t>Age (Years)</w:t>
      </w:r>
      <w:r w:rsidR="29168E25">
        <w:rPr/>
        <w:t xml:space="preserve">, </w:t>
      </w:r>
      <w:r w:rsidR="00804B1A">
        <w:rPr/>
        <w:t>Sex</w:t>
      </w:r>
    </w:p>
    <w:p w:rsidR="00804B1A" w:rsidP="00804B1A" w:rsidRDefault="00804B1A" w14:paraId="768060C5" w14:textId="77777777" w14:noSpellErr="1">
      <w:pPr>
        <w:pStyle w:val="ListParagraph"/>
        <w:numPr>
          <w:ilvl w:val="0"/>
          <w:numId w:val="2"/>
        </w:numPr>
        <w:rPr/>
      </w:pPr>
      <w:r w:rsidR="00804B1A">
        <w:rPr/>
        <w:t>Stimulation Conditions (AT, IC, LPS, Pam, Unstimulated)</w:t>
      </w:r>
    </w:p>
    <w:p w:rsidR="00804B1A" w:rsidP="00804B1A" w:rsidRDefault="00804B1A" w14:paraId="1102EC47" w14:textId="5D5E01E5">
      <w:pPr>
        <w:pStyle w:val="ListParagraph"/>
        <w:numPr>
          <w:ilvl w:val="0"/>
          <w:numId w:val="2"/>
        </w:numPr>
        <w:rPr/>
      </w:pPr>
      <w:r w:rsidR="00804B1A">
        <w:rPr/>
        <w:t xml:space="preserve">No metadata on infection status; Memphis IDs all appear in Uninfected Cytokines database, implying these to be baseline </w:t>
      </w:r>
      <w:r w:rsidR="20986F42">
        <w:rPr/>
        <w:t xml:space="preserve">cases </w:t>
      </w:r>
      <w:r w:rsidR="53715B91">
        <w:rPr/>
        <w:t>only</w:t>
      </w:r>
    </w:p>
    <w:p w:rsidR="00804B1A" w:rsidP="00804B1A" w:rsidRDefault="00804B1A" w14:paraId="382F2268" w14:textId="1C4CBC25">
      <w:pPr>
        <w:pStyle w:val="ListParagraph"/>
        <w:numPr>
          <w:ilvl w:val="0"/>
          <w:numId w:val="2"/>
        </w:numPr>
        <w:rPr/>
      </w:pPr>
      <w:r w:rsidR="00804B1A">
        <w:rPr/>
        <w:t xml:space="preserve">Gene Expression by Age Group </w:t>
      </w:r>
      <w:r w:rsidRPr="714C8BE8" w:rsidR="00804B1A">
        <w:rPr>
          <w:i w:val="0"/>
          <w:iCs w:val="0"/>
        </w:rPr>
        <w:t>and</w:t>
      </w:r>
      <w:r w:rsidRPr="714C8BE8" w:rsidR="00804B1A">
        <w:rPr>
          <w:i w:val="0"/>
          <w:iCs w:val="0"/>
        </w:rPr>
        <w:t xml:space="preserve"> </w:t>
      </w:r>
      <w:r w:rsidR="00804B1A">
        <w:rPr/>
        <w:t>Sex</w:t>
      </w:r>
    </w:p>
    <w:p w:rsidR="51FA2EA3" w:rsidP="714C8BE8" w:rsidRDefault="51FA2EA3" w14:paraId="159065F0" w14:textId="4583BF89">
      <w:pPr>
        <w:pStyle w:val="ListParagraph"/>
        <w:numPr>
          <w:ilvl w:val="1"/>
          <w:numId w:val="2"/>
        </w:numPr>
        <w:rPr>
          <w:noProof w:val="0"/>
          <w:lang w:val="en-US"/>
        </w:rPr>
      </w:pPr>
      <w:r w:rsidR="51FA2EA3">
        <w:rPr/>
        <w:t>Link:</w:t>
      </w:r>
      <w:r w:rsidR="415EFD46">
        <w:rPr/>
        <w:t xml:space="preserve"> </w:t>
      </w:r>
      <w:hyperlink r:id="R708dc92093a347f7">
        <w:r w:rsidRPr="714C8BE8" w:rsidR="415EFD46">
          <w:rPr>
            <w:rStyle w:val="Hyperlink"/>
            <w:noProof w:val="0"/>
            <w:lang w:val="en-US"/>
          </w:rPr>
          <w:t>GeneExpression</w:t>
        </w:r>
      </w:hyperlink>
    </w:p>
    <w:p w:rsidR="51FA2EA3" w:rsidP="714C8BE8" w:rsidRDefault="51FA2EA3" w14:paraId="6C6D9955" w14:textId="1CB5284A">
      <w:pPr>
        <w:pStyle w:val="ListParagraph"/>
        <w:numPr>
          <w:ilvl w:val="1"/>
          <w:numId w:val="2"/>
        </w:numPr>
        <w:rPr/>
      </w:pPr>
      <w:r w:rsidR="51FA2EA3">
        <w:rPr/>
        <w:t xml:space="preserve">Example: </w:t>
      </w:r>
    </w:p>
    <w:p w:rsidR="540E8E50" w:rsidP="714C8BE8" w:rsidRDefault="540E8E50" w14:paraId="4574B322" w14:textId="03A235A5">
      <w:pPr>
        <w:pStyle w:val="Normal"/>
      </w:pPr>
      <w:r w:rsidR="540E8E50">
        <w:drawing>
          <wp:inline wp14:editId="1C2D8F48" wp14:anchorId="5BF21B36">
            <wp:extent cx="2981325" cy="3051249"/>
            <wp:effectExtent l="0" t="0" r="0" b="0"/>
            <wp:docPr id="2048943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9b98d1615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0E8E50" w:rsidP="714C8BE8" w:rsidRDefault="540E8E50" w14:paraId="5B5C17DD" w14:textId="7DA6018E">
      <w:pPr>
        <w:pStyle w:val="Normal"/>
      </w:pPr>
      <w:r w:rsidR="540E8E50">
        <w:drawing>
          <wp:inline wp14:editId="0106BEAE" wp14:anchorId="068A3A7E">
            <wp:extent cx="4572000" cy="3152775"/>
            <wp:effectExtent l="0" t="0" r="0" b="0"/>
            <wp:docPr id="78609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90bfedb304c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4C8BE8" w:rsidP="714C8BE8" w:rsidRDefault="714C8BE8" w14:paraId="30CCE604" w14:textId="70036A83">
      <w:pPr>
        <w:pStyle w:val="Normal"/>
        <w:ind w:left="0"/>
      </w:pPr>
    </w:p>
    <w:p w:rsidR="714C8BE8" w:rsidP="714C8BE8" w:rsidRDefault="714C8BE8" w14:paraId="41889E90" w14:textId="6DF9D105">
      <w:pPr>
        <w:pStyle w:val="Normal"/>
        <w:ind w:left="0"/>
      </w:pPr>
    </w:p>
    <w:p w:rsidR="714C8BE8" w:rsidP="714C8BE8" w:rsidRDefault="714C8BE8" w14:paraId="7446BE04" w14:textId="2F9E68B3">
      <w:pPr>
        <w:pStyle w:val="Normal"/>
        <w:ind w:left="0"/>
      </w:pPr>
    </w:p>
    <w:p w:rsidR="714C8BE8" w:rsidP="714C8BE8" w:rsidRDefault="714C8BE8" w14:paraId="793C2D09" w14:textId="4C6E0839">
      <w:pPr>
        <w:pStyle w:val="Normal"/>
        <w:ind w:left="0"/>
      </w:pPr>
    </w:p>
    <w:p w:rsidR="714C8BE8" w:rsidP="714C8BE8" w:rsidRDefault="714C8BE8" w14:paraId="57B0D07E" w14:textId="6CFDAA38">
      <w:pPr>
        <w:pStyle w:val="Normal"/>
        <w:ind w:left="0"/>
      </w:pPr>
    </w:p>
    <w:p w:rsidR="00804B1A" w:rsidP="714C8BE8" w:rsidRDefault="00804B1A" w14:paraId="52B5D8BA" w14:textId="0051B5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714C8BE8" w:rsidR="00804B1A">
        <w:rPr>
          <w:b w:val="1"/>
          <w:bCs w:val="1"/>
        </w:rPr>
        <w:t>Dynamic cytokines from nasal wash</w:t>
      </w:r>
      <w:r w:rsidRPr="714C8BE8" w:rsidR="570594E5">
        <w:rPr>
          <w:b w:val="1"/>
          <w:bCs w:val="1"/>
        </w:rPr>
        <w:t>, plasma</w:t>
      </w:r>
      <w:r w:rsidR="570594E5">
        <w:rPr/>
        <w:t xml:space="preserve"> (</w:t>
      </w:r>
      <w:r w:rsidR="570594E5">
        <w:rPr/>
        <w:t>separate</w:t>
      </w:r>
      <w:r w:rsidR="570594E5">
        <w:rPr/>
        <w:t xml:space="preserve">): </w:t>
      </w:r>
      <w:hyperlink r:id="Rc0df98b116e743e6">
        <w:r w:rsidRPr="714C8BE8" w:rsidR="570594E5">
          <w:rPr>
            <w:rStyle w:val="Hyperlink"/>
            <w:noProof w:val="0"/>
            <w:lang w:val="en-US"/>
          </w:rPr>
          <w:t>Cytokines</w:t>
        </w:r>
      </w:hyperlink>
    </w:p>
    <w:p w:rsidR="570594E5" w:rsidP="714C8BE8" w:rsidRDefault="570594E5" w14:paraId="39F0C24A" w14:textId="619FAF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70594E5">
        <w:drawing>
          <wp:inline wp14:editId="0C57CFB8" wp14:anchorId="17F51376">
            <wp:extent cx="4572000" cy="4572000"/>
            <wp:effectExtent l="0" t="0" r="0" b="0"/>
            <wp:docPr id="1814181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c7d81a84f2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70" w:rsidP="00063A70" w:rsidRDefault="00063A70" w14:paraId="399B1AF9" w14:textId="01EEFFD6">
      <w:r w:rsidRPr="714C8BE8" w:rsidR="00063A70">
        <w:rPr>
          <w:b w:val="1"/>
          <w:bCs w:val="1"/>
        </w:rPr>
        <w:t>Study Participants and Design</w:t>
      </w:r>
      <w:r w:rsidR="00063A70">
        <w:rPr/>
        <w:t xml:space="preserve"> “Inclusion criteria required that participants meet the clinical case definition of influenza virus infection at the time of </w:t>
      </w:r>
      <w:r w:rsidR="3BD51715">
        <w:rPr/>
        <w:t>enrollment or</w:t>
      </w:r>
      <w:r w:rsidR="00063A70">
        <w:rPr/>
        <w:t xml:space="preserve"> were asymptomatic household contacts of a participant with confirmed influenza infection. Index cases were asked to </w:t>
      </w:r>
      <w:r w:rsidR="00063A70">
        <w:rPr/>
        <w:t>provide</w:t>
      </w:r>
      <w:r w:rsidR="00063A70">
        <w:rPr/>
        <w:t xml:space="preserve"> nasal swabs, nasal lavages, and blood on the day of enrollment (Day 0) and Days 3, 7, 10, and 28, </w:t>
      </w:r>
      <w:r w:rsidR="00063A70">
        <w:rPr/>
        <w:t>whereas</w:t>
      </w:r>
      <w:r w:rsidR="00063A70">
        <w:rPr/>
        <w:t xml:space="preserve"> household contacts were asked to </w:t>
      </w:r>
      <w:r w:rsidR="00063A70">
        <w:rPr/>
        <w:t>provide</w:t>
      </w:r>
      <w:r w:rsidR="00063A70">
        <w:rPr/>
        <w:t xml:space="preserve"> nasal swabs on Day 0, 3, 7, and 14 and blood and nasal lavages on Days 0 and 28 (Figure 1a). Participants were asked to rank their symptom severity daily according to a visual analog scale. Participant Selection and Characteristics A total of 73 individuals </w:t>
      </w:r>
      <w:r w:rsidR="00063A70">
        <w:rPr/>
        <w:t>exhibiting</w:t>
      </w:r>
      <w:r w:rsidR="00063A70">
        <w:rPr/>
        <w:t xml:space="preserve"> influenza-like illness and 126 household contacts were enrolled during the 2009–2010 (aged 3.6 </w:t>
      </w:r>
      <w:r w:rsidR="00063A70">
        <w:rPr/>
        <w:t>wk</w:t>
      </w:r>
      <w:r w:rsidR="00063A70">
        <w:rPr/>
        <w:t xml:space="preserve"> to 71 </w:t>
      </w:r>
      <w:r w:rsidR="00063A70">
        <w:rPr/>
        <w:t>yr</w:t>
      </w:r>
      <w:r w:rsidR="00063A70">
        <w:rPr/>
        <w:t xml:space="preserve">) and 2010–2011 (aged 10.5 </w:t>
      </w:r>
      <w:r w:rsidR="00063A70">
        <w:rPr/>
        <w:t>wk</w:t>
      </w:r>
      <w:r w:rsidR="00063A70">
        <w:rPr/>
        <w:t xml:space="preserve"> to 56 </w:t>
      </w:r>
      <w:r w:rsidR="00063A70">
        <w:rPr/>
        <w:t>yr</w:t>
      </w:r>
      <w:r w:rsidR="00063A70">
        <w:rPr/>
        <w:t xml:space="preserve">) influenza seasons (Table1). Of the </w:t>
      </w:r>
      <w:r w:rsidR="512D1048">
        <w:rPr/>
        <w:t>84 influenza</w:t>
      </w:r>
      <w:r w:rsidR="00063A70">
        <w:rPr/>
        <w:t xml:space="preserve"> virus–positive participants, 24 suffered from ACIP defined high-risk conditions at enrollment, including 17 individuals with underlying asthma or reactive airway disease (Table2). Our cohort </w:t>
      </w:r>
      <w:r w:rsidR="00063A70">
        <w:rPr/>
        <w:t>contained</w:t>
      </w:r>
      <w:r w:rsidR="00063A70">
        <w:rPr/>
        <w:t xml:space="preserve"> 19 individuals who were hospitalized (median duration, 3 d; range, 1–26 d), with four requiring intensive care (median duration, 6 d; range, 2–6 d).”</w:t>
      </w:r>
    </w:p>
    <w:p w:rsidR="00E830F4" w:rsidP="00E830F4" w:rsidRDefault="00063A70" w14:paraId="150ED1DA" w14:textId="77777777">
      <w:pPr>
        <w:pStyle w:val="ListParagraph"/>
        <w:numPr>
          <w:ilvl w:val="0"/>
          <w:numId w:val="4"/>
        </w:numPr>
      </w:pPr>
      <w:r w:rsidRPr="000F3CB7">
        <w:rPr>
          <w:b/>
          <w:bCs/>
        </w:rPr>
        <w:lastRenderedPageBreak/>
        <w:t>Quantitative Reverse-Transcriptase Polymerase Chain Reaction</w:t>
      </w:r>
      <w:r>
        <w:t xml:space="preserve"> “Molecular viral loads were determined from nasal swabs”</w:t>
      </w:r>
    </w:p>
    <w:p w:rsidR="00063A70" w:rsidP="00063A70" w:rsidRDefault="0072051D" w14:paraId="7A3F0B8A" w14:textId="7A8AD9F1">
      <w:pPr>
        <w:pStyle w:val="ListParagraph"/>
        <w:numPr>
          <w:ilvl w:val="1"/>
          <w:numId w:val="4"/>
        </w:numPr>
        <w:rPr/>
      </w:pPr>
      <w:r w:rsidR="0072051D">
        <w:rPr/>
        <w:t>Once metadata is completed, age and sex comparisons of viral load are possible. For now, the three case types are plotted separately</w:t>
      </w:r>
      <w:r w:rsidR="5C02ECB4">
        <w:rPr/>
        <w:t xml:space="preserve">: </w:t>
      </w:r>
      <w:hyperlink r:id="Rf38c4892c6eb42b7">
        <w:r w:rsidRPr="714C8BE8" w:rsidR="5C02ECB4">
          <w:rPr>
            <w:rStyle w:val="Hyperlink"/>
          </w:rPr>
          <w:t>ViralLoads.svg</w:t>
        </w:r>
      </w:hyperlink>
      <w:r w:rsidR="0072051D">
        <w:rPr/>
        <w:t xml:space="preserve"> </w:t>
      </w:r>
      <w:r w:rsidR="00063A70">
        <w:drawing>
          <wp:inline wp14:editId="2A440A1B" wp14:anchorId="04FB485C">
            <wp:extent cx="2368550" cy="2408025"/>
            <wp:effectExtent l="0" t="0" r="0" b="0"/>
            <wp:docPr id="1097476878" name="Picture 1" descr="A graph of lines and point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fa70f6f3b33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8550" cy="24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70" w:rsidP="00063A70" w:rsidRDefault="00063A70" w14:paraId="4774A5DA" w14:textId="77777777">
      <w:pPr>
        <w:pStyle w:val="ListParagraph"/>
      </w:pPr>
    </w:p>
    <w:p w:rsidR="00063A70" w:rsidP="00063A70" w:rsidRDefault="00063A70" w14:paraId="1158E35B" w14:textId="77777777">
      <w:pPr>
        <w:pStyle w:val="ListParagraph"/>
        <w:numPr>
          <w:ilvl w:val="0"/>
          <w:numId w:val="4"/>
        </w:numPr>
      </w:pPr>
      <w:r w:rsidRPr="000F3CB7">
        <w:rPr>
          <w:b/>
          <w:bCs/>
        </w:rPr>
        <w:t>Microneutralization Assay</w:t>
      </w:r>
      <w:r>
        <w:t xml:space="preserve"> “Plasma was tested for antibodies against recently circulating influenza strains by microneutralization assay.”</w:t>
      </w:r>
    </w:p>
    <w:p w:rsidR="00530EAF" w:rsidP="714C8BE8" w:rsidRDefault="00530EAF" w14:paraId="2E84FA9F" w14:textId="711EFFE9">
      <w:pPr>
        <w:pStyle w:val="ListParagraph"/>
        <w:numPr>
          <w:ilvl w:val="0"/>
          <w:numId w:val="4"/>
        </w:numPr>
        <w:rPr/>
      </w:pPr>
      <w:r w:rsidRPr="714C8BE8" w:rsidR="00063A70">
        <w:rPr>
          <w:b w:val="1"/>
          <w:bCs w:val="1"/>
        </w:rPr>
        <w:t>Detection of Cytokines</w:t>
      </w:r>
      <w:r w:rsidR="00063A70">
        <w:rPr/>
        <w:t xml:space="preserve"> “The </w:t>
      </w:r>
      <w:r w:rsidR="00063A70">
        <w:rPr/>
        <w:t>Luminexx</w:t>
      </w:r>
      <w:r w:rsidR="00063A70">
        <w:rPr/>
        <w:t xml:space="preserve"> MAP system was used with a MILLIPLEX MAP human cytokine immunoassay for detection of cytokines.”</w:t>
      </w:r>
    </w:p>
    <w:p w:rsidR="00063A70" w:rsidP="00063A70" w:rsidRDefault="00063A70" w14:paraId="7628A5D6" w14:textId="511AAC99">
      <w:pPr>
        <w:pStyle w:val="ListParagraph"/>
        <w:numPr>
          <w:ilvl w:val="0"/>
          <w:numId w:val="4"/>
        </w:numPr>
        <w:rPr/>
      </w:pPr>
      <w:r w:rsidRPr="714C8BE8" w:rsidR="00063A70">
        <w:rPr>
          <w:b w:val="1"/>
          <w:bCs w:val="1"/>
        </w:rPr>
        <w:t>Flow Cytometry</w:t>
      </w:r>
      <w:r w:rsidR="00063A70">
        <w:rPr/>
        <w:t xml:space="preserve"> “1E5 peripheral blood mononuclear cells or nasal lavage cells were stained with a panel of monoclonal antibodies including CD14 (clone M5E2), HLA-DR (clone LN3), and CD16 (clone CB16</w:t>
      </w:r>
      <w:r w:rsidR="002C1ED8">
        <w:rPr/>
        <w:t>)</w:t>
      </w:r>
      <w:r w:rsidR="00063A70">
        <w:rPr/>
        <w:t>.”</w:t>
      </w:r>
      <w:r w:rsidR="00C81780">
        <w:rPr/>
        <w:t xml:space="preserve"> </w:t>
      </w:r>
    </w:p>
    <w:p w:rsidR="00FF7416" w:rsidP="00FF7416" w:rsidRDefault="00C81780" w14:paraId="269BE358" w14:noSpellErr="1" w14:textId="11622B6C">
      <w:pPr>
        <w:pStyle w:val="ListParagraph"/>
      </w:pPr>
    </w:p>
    <w:p w:rsidRPr="001669F6" w:rsidR="00C81780" w:rsidP="00FF7416" w:rsidRDefault="00C81780" w14:paraId="564B8D74" w14:textId="7F072B72">
      <w:pPr>
        <w:pStyle w:val="ListParagraph"/>
      </w:pPr>
    </w:p>
    <w:p w:rsidR="004E71EC" w:rsidRDefault="004E71EC" w14:paraId="7192855C" w14:textId="77777777"/>
    <w:sectPr w:rsidR="004E71E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3F8"/>
    <w:multiLevelType w:val="hybridMultilevel"/>
    <w:tmpl w:val="2C3434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27588D"/>
    <w:multiLevelType w:val="hybridMultilevel"/>
    <w:tmpl w:val="CBB80F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6E0688"/>
    <w:multiLevelType w:val="hybridMultilevel"/>
    <w:tmpl w:val="5F6AFF0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8D66B71"/>
    <w:multiLevelType w:val="hybridMultilevel"/>
    <w:tmpl w:val="34DE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00241">
    <w:abstractNumId w:val="0"/>
  </w:num>
  <w:num w:numId="2" w16cid:durableId="1215773347">
    <w:abstractNumId w:val="2"/>
  </w:num>
  <w:num w:numId="3" w16cid:durableId="851334327">
    <w:abstractNumId w:val="1"/>
  </w:num>
  <w:num w:numId="4" w16cid:durableId="24800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1A"/>
    <w:rsid w:val="000161D1"/>
    <w:rsid w:val="00063A70"/>
    <w:rsid w:val="001C702E"/>
    <w:rsid w:val="002A3907"/>
    <w:rsid w:val="002C1ED8"/>
    <w:rsid w:val="004E2465"/>
    <w:rsid w:val="004E71EC"/>
    <w:rsid w:val="00530EAF"/>
    <w:rsid w:val="00657963"/>
    <w:rsid w:val="0072051D"/>
    <w:rsid w:val="00804B1A"/>
    <w:rsid w:val="0095073A"/>
    <w:rsid w:val="00C1144F"/>
    <w:rsid w:val="00C81780"/>
    <w:rsid w:val="00E830F4"/>
    <w:rsid w:val="00F0290C"/>
    <w:rsid w:val="00FF7416"/>
    <w:rsid w:val="01465986"/>
    <w:rsid w:val="0395DE98"/>
    <w:rsid w:val="0969C496"/>
    <w:rsid w:val="0C33DC81"/>
    <w:rsid w:val="0CA16558"/>
    <w:rsid w:val="0ED8913F"/>
    <w:rsid w:val="152616B6"/>
    <w:rsid w:val="16411E4A"/>
    <w:rsid w:val="1FF7176A"/>
    <w:rsid w:val="20986F42"/>
    <w:rsid w:val="2300F061"/>
    <w:rsid w:val="234EA4DF"/>
    <w:rsid w:val="2655BA78"/>
    <w:rsid w:val="29168E25"/>
    <w:rsid w:val="298ADAB6"/>
    <w:rsid w:val="3246CC66"/>
    <w:rsid w:val="382930A8"/>
    <w:rsid w:val="3A60F045"/>
    <w:rsid w:val="3A7A18A2"/>
    <w:rsid w:val="3BD51715"/>
    <w:rsid w:val="3C2A8871"/>
    <w:rsid w:val="3FDBC8AC"/>
    <w:rsid w:val="415EFD46"/>
    <w:rsid w:val="44ACF785"/>
    <w:rsid w:val="48DF44A6"/>
    <w:rsid w:val="498B3EA2"/>
    <w:rsid w:val="49A315BA"/>
    <w:rsid w:val="512D1048"/>
    <w:rsid w:val="512F4D7A"/>
    <w:rsid w:val="51FA2EA3"/>
    <w:rsid w:val="53715B91"/>
    <w:rsid w:val="540E8E50"/>
    <w:rsid w:val="55D653AA"/>
    <w:rsid w:val="570594E5"/>
    <w:rsid w:val="57445C40"/>
    <w:rsid w:val="58F954FE"/>
    <w:rsid w:val="5C02ECB4"/>
    <w:rsid w:val="5C34F6B8"/>
    <w:rsid w:val="5DB39DC4"/>
    <w:rsid w:val="67626D90"/>
    <w:rsid w:val="6D088BC3"/>
    <w:rsid w:val="6E3B5158"/>
    <w:rsid w:val="6F64EBC5"/>
    <w:rsid w:val="70F2BA53"/>
    <w:rsid w:val="714C8BE8"/>
    <w:rsid w:val="74046DFC"/>
    <w:rsid w:val="784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F6BC"/>
  <w15:chartTrackingRefBased/>
  <w15:docId w15:val="{F8E7E1C5-4899-410D-8771-855D104C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4B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B1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1A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04B1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frontiersin.org/articles/10.3389/fimmu.2017.01423/full" TargetMode="External" Id="Ra6f11623a54c4ea8" /><Relationship Type="http://schemas.openxmlformats.org/officeDocument/2006/relationships/hyperlink" Target="https://doi.org/10.3389/fimmu.2017.01423" TargetMode="External" Id="Race6e8cd2d9c46ba" /><Relationship Type="http://schemas.openxmlformats.org/officeDocument/2006/relationships/hyperlink" Target="https://liveutk-my.sharepoint.com/:f:/r/personal/jweave49_uthsc_edu/Documents/VPC/Data/Cohorts/Memphis/CellPhenotypes?csf=1&amp;web=1&amp;e=pD2jTW" TargetMode="External" Id="Rde50bd69ac6c4126" /><Relationship Type="http://schemas.openxmlformats.org/officeDocument/2006/relationships/image" Target="/media/image4.png" Id="Rbe1362e261f747f8" /><Relationship Type="http://schemas.openxmlformats.org/officeDocument/2006/relationships/hyperlink" Target="https://liveutk-my.sharepoint.com/:f:/r/personal/jweave49_uthsc_edu/Documents/VPC/Data/Cohorts/Memphis/GeneExpression?csf=1&amp;web=1&amp;e=C1cVaE" TargetMode="External" Id="R708dc92093a347f7" /><Relationship Type="http://schemas.openxmlformats.org/officeDocument/2006/relationships/image" Target="/media/image5.png" Id="R7139b98d1615417e" /><Relationship Type="http://schemas.openxmlformats.org/officeDocument/2006/relationships/image" Target="/media/image6.png" Id="R61890bfedb304c16" /><Relationship Type="http://schemas.openxmlformats.org/officeDocument/2006/relationships/hyperlink" Target="https://liveutk-my.sharepoint.com/:f:/r/personal/jweave49_uthsc_edu/Documents/VPC/Data/Cohorts/Memphis/Cytokines?csf=1&amp;web=1&amp;e=jfs8ch" TargetMode="External" Id="Rc0df98b116e743e6" /><Relationship Type="http://schemas.openxmlformats.org/officeDocument/2006/relationships/image" Target="/media/image7.png" Id="R12c7d81a84f24a2b" /><Relationship Type="http://schemas.openxmlformats.org/officeDocument/2006/relationships/hyperlink" Target="https://liveutk-my.sharepoint.com/:u:/r/personal/jweave49_uthsc_edu/Documents/VPC/Data/Cohorts/Memphis/ViralLoads.svg?csf=1&amp;web=1&amp;e=7OcDIP" TargetMode="External" Id="Rf38c4892c6eb42b7" /><Relationship Type="http://schemas.openxmlformats.org/officeDocument/2006/relationships/image" Target="/media/image8.png" Id="R4fa70f6f3b3344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Jordan Weaver</dc:creator>
  <keywords/>
  <dc:description/>
  <lastModifiedBy>Weaver, Jordan J</lastModifiedBy>
  <revision>11</revision>
  <dcterms:created xsi:type="dcterms:W3CDTF">2023-12-16T01:35:00.0000000Z</dcterms:created>
  <dcterms:modified xsi:type="dcterms:W3CDTF">2023-12-21T01:18:46.6188314Z</dcterms:modified>
</coreProperties>
</file>