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91BC" w14:textId="77777777" w:rsidR="0020450C" w:rsidRPr="0020450C" w:rsidRDefault="0020450C" w:rsidP="0020450C">
      <w:pPr>
        <w:shd w:val="clear" w:color="auto" w:fill="FFFFFF"/>
        <w:spacing w:after="100" w:afterAutospacing="1" w:line="240" w:lineRule="auto"/>
        <w:outlineLvl w:val="4"/>
        <w:rPr>
          <w:rFonts w:ascii="Nunito Sans" w:eastAsia="Times New Roman" w:hAnsi="Nunito Sans" w:cs="Times New Roman"/>
          <w:b/>
          <w:bCs/>
          <w:color w:val="212529"/>
          <w:kern w:val="0"/>
          <w:sz w:val="20"/>
          <w:szCs w:val="20"/>
          <w14:ligatures w14:val="none"/>
        </w:rPr>
      </w:pPr>
      <w:r w:rsidRPr="0020450C">
        <w:rPr>
          <w:rFonts w:ascii="Nunito Sans" w:eastAsia="Times New Roman" w:hAnsi="Nunito Sans" w:cs="Times New Roman"/>
          <w:b/>
          <w:bCs/>
          <w:color w:val="212529"/>
          <w:kern w:val="0"/>
          <w:sz w:val="20"/>
          <w:szCs w:val="20"/>
          <w14:ligatures w14:val="none"/>
        </w:rPr>
        <w:t>1.  Data Type</w:t>
      </w:r>
    </w:p>
    <w:p w14:paraId="75BCB6CE" w14:textId="77777777" w:rsidR="0020450C" w:rsidRPr="0020450C" w:rsidRDefault="0020450C" w:rsidP="0020450C">
      <w:pPr>
        <w:shd w:val="clear" w:color="auto" w:fill="FFFFFF"/>
        <w:spacing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Briefly describe the scientific data to be managed and shared:</w:t>
      </w:r>
    </w:p>
    <w:p w14:paraId="63BDF10C" w14:textId="77777777" w:rsidR="0020450C" w:rsidRPr="0020450C" w:rsidRDefault="0020450C" w:rsidP="0020450C">
      <w:pPr>
        <w:numPr>
          <w:ilvl w:val="0"/>
          <w:numId w:val="1"/>
        </w:numPr>
        <w:shd w:val="clear" w:color="auto" w:fill="FFFFFF"/>
        <w:spacing w:before="120"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w:t>
      </w:r>
    </w:p>
    <w:p w14:paraId="08D54F13" w14:textId="77777777" w:rsidR="0020450C" w:rsidRPr="0020450C" w:rsidRDefault="0020450C" w:rsidP="0020450C">
      <w:pPr>
        <w:numPr>
          <w:ilvl w:val="0"/>
          <w:numId w:val="1"/>
        </w:numPr>
        <w:shd w:val="clear" w:color="auto" w:fill="FFFFFF"/>
        <w:spacing w:before="120"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 xml:space="preserve">Describe which scientific data from the project will be preserved and shared. NIH does not anticipate that researchers will preserve and share all scientific data generated in a study. Researchers should decide which scientific data to </w:t>
      </w:r>
      <w:proofErr w:type="gramStart"/>
      <w:r w:rsidRPr="0020450C">
        <w:rPr>
          <w:rFonts w:ascii="Nunito Sans" w:eastAsia="Times New Roman" w:hAnsi="Nunito Sans" w:cs="Times New Roman"/>
          <w:color w:val="212529"/>
          <w:kern w:val="0"/>
          <w:sz w:val="27"/>
          <w:szCs w:val="27"/>
          <w14:ligatures w14:val="none"/>
        </w:rPr>
        <w:t>preserve</w:t>
      </w:r>
      <w:proofErr w:type="gramEnd"/>
      <w:r w:rsidRPr="0020450C">
        <w:rPr>
          <w:rFonts w:ascii="Nunito Sans" w:eastAsia="Times New Roman" w:hAnsi="Nunito Sans" w:cs="Times New Roman"/>
          <w:color w:val="212529"/>
          <w:kern w:val="0"/>
          <w:sz w:val="27"/>
          <w:szCs w:val="27"/>
          <w14:ligatures w14:val="none"/>
        </w:rPr>
        <w:t xml:space="preserve"> and share based on ethical, legal, and technical factors. The plan should provide the reasoning for these decisions.</w:t>
      </w:r>
    </w:p>
    <w:p w14:paraId="7A474D16" w14:textId="77777777" w:rsidR="0020450C" w:rsidRPr="0020450C" w:rsidRDefault="0020450C" w:rsidP="0020450C">
      <w:pPr>
        <w:numPr>
          <w:ilvl w:val="0"/>
          <w:numId w:val="1"/>
        </w:numPr>
        <w:shd w:val="clear" w:color="auto" w:fill="FFFFFF"/>
        <w:spacing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A brief listing of the metadata, other relevant data, and any associated documentation (e.g., study protocols and data collection instruments) that will be made accessible to facilitate interpretation of the scientific data</w:t>
      </w:r>
    </w:p>
    <w:p w14:paraId="37A74220" w14:textId="77777777" w:rsidR="0020450C" w:rsidRPr="0020450C" w:rsidRDefault="0020450C" w:rsidP="0020450C">
      <w:pPr>
        <w:shd w:val="clear" w:color="auto" w:fill="FFFFFF"/>
        <w:spacing w:after="100" w:afterAutospacing="1" w:line="240" w:lineRule="auto"/>
        <w:outlineLvl w:val="4"/>
        <w:rPr>
          <w:rFonts w:ascii="Nunito Sans" w:eastAsia="Times New Roman" w:hAnsi="Nunito Sans" w:cs="Times New Roman"/>
          <w:b/>
          <w:bCs/>
          <w:color w:val="212529"/>
          <w:kern w:val="0"/>
          <w:sz w:val="20"/>
          <w:szCs w:val="20"/>
          <w14:ligatures w14:val="none"/>
        </w:rPr>
      </w:pPr>
      <w:r w:rsidRPr="0020450C">
        <w:rPr>
          <w:rFonts w:ascii="Nunito Sans" w:eastAsia="Times New Roman" w:hAnsi="Nunito Sans" w:cs="Times New Roman"/>
          <w:b/>
          <w:bCs/>
          <w:color w:val="212529"/>
          <w:kern w:val="0"/>
          <w:sz w:val="20"/>
          <w:szCs w:val="20"/>
          <w14:ligatures w14:val="none"/>
        </w:rPr>
        <w:t>2.  Related Tools, Software and/or Code</w:t>
      </w:r>
    </w:p>
    <w:p w14:paraId="26A08C95" w14:textId="77777777" w:rsidR="0020450C" w:rsidRPr="0020450C" w:rsidRDefault="0020450C" w:rsidP="0020450C">
      <w:pPr>
        <w:shd w:val="clear" w:color="auto" w:fill="FFFFFF"/>
        <w:spacing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Indicate whether specialized tools are needed to access or manipulate shared scientific data to support replication or reuse, and name(s) of the needed tool(s) and software. If applicable, specify how needed tools can be accessed.</w:t>
      </w:r>
    </w:p>
    <w:p w14:paraId="783E0A7D" w14:textId="77777777" w:rsidR="0020450C" w:rsidRPr="0020450C" w:rsidRDefault="0020450C" w:rsidP="0020450C">
      <w:pPr>
        <w:shd w:val="clear" w:color="auto" w:fill="FFFFFF"/>
        <w:spacing w:after="100" w:afterAutospacing="1" w:line="240" w:lineRule="auto"/>
        <w:outlineLvl w:val="4"/>
        <w:rPr>
          <w:rFonts w:ascii="Nunito Sans" w:eastAsia="Times New Roman" w:hAnsi="Nunito Sans" w:cs="Times New Roman"/>
          <w:b/>
          <w:bCs/>
          <w:color w:val="212529"/>
          <w:kern w:val="0"/>
          <w:sz w:val="20"/>
          <w:szCs w:val="20"/>
          <w14:ligatures w14:val="none"/>
        </w:rPr>
      </w:pPr>
      <w:r w:rsidRPr="0020450C">
        <w:rPr>
          <w:rFonts w:ascii="Nunito Sans" w:eastAsia="Times New Roman" w:hAnsi="Nunito Sans" w:cs="Times New Roman"/>
          <w:b/>
          <w:bCs/>
          <w:color w:val="212529"/>
          <w:kern w:val="0"/>
          <w:sz w:val="20"/>
          <w:szCs w:val="20"/>
          <w14:ligatures w14:val="none"/>
        </w:rPr>
        <w:t>3.  Standards</w:t>
      </w:r>
    </w:p>
    <w:p w14:paraId="7F255FDB" w14:textId="77777777" w:rsidR="0020450C" w:rsidRPr="0020450C" w:rsidRDefault="0020450C" w:rsidP="0020450C">
      <w:pPr>
        <w:shd w:val="clear" w:color="auto" w:fill="FFFFFF"/>
        <w:spacing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Describe what standards, if any, will be applied to the scientific data and associated metadata (i.e., data formats, data dictionaries, data identifiers, definitions, unique identifiers, and other data documentation).</w:t>
      </w:r>
    </w:p>
    <w:p w14:paraId="57DB5DE7" w14:textId="77777777" w:rsidR="0020450C" w:rsidRPr="0020450C" w:rsidRDefault="0020450C" w:rsidP="0020450C">
      <w:pPr>
        <w:shd w:val="clear" w:color="auto" w:fill="FFFFFF"/>
        <w:spacing w:after="100" w:afterAutospacing="1" w:line="240" w:lineRule="auto"/>
        <w:outlineLvl w:val="4"/>
        <w:rPr>
          <w:rFonts w:ascii="Nunito Sans" w:eastAsia="Times New Roman" w:hAnsi="Nunito Sans" w:cs="Times New Roman"/>
          <w:b/>
          <w:bCs/>
          <w:color w:val="212529"/>
          <w:kern w:val="0"/>
          <w:sz w:val="20"/>
          <w:szCs w:val="20"/>
          <w14:ligatures w14:val="none"/>
        </w:rPr>
      </w:pPr>
      <w:r w:rsidRPr="0020450C">
        <w:rPr>
          <w:rFonts w:ascii="Nunito Sans" w:eastAsia="Times New Roman" w:hAnsi="Nunito Sans" w:cs="Times New Roman"/>
          <w:b/>
          <w:bCs/>
          <w:color w:val="212529"/>
          <w:kern w:val="0"/>
          <w:sz w:val="20"/>
          <w:szCs w:val="20"/>
          <w14:ligatures w14:val="none"/>
        </w:rPr>
        <w:t>4.  Data Preservation, Access, and Associated Timelines</w:t>
      </w:r>
    </w:p>
    <w:p w14:paraId="15AE3ED0" w14:textId="77777777" w:rsidR="0020450C" w:rsidRPr="0020450C" w:rsidRDefault="0020450C" w:rsidP="0020450C">
      <w:pPr>
        <w:shd w:val="clear" w:color="auto" w:fill="FFFFFF"/>
        <w:spacing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Give plans and timelines for data preservation and access, including:</w:t>
      </w:r>
    </w:p>
    <w:p w14:paraId="58AC6782" w14:textId="77777777" w:rsidR="0020450C" w:rsidRPr="0020450C" w:rsidRDefault="0020450C" w:rsidP="0020450C">
      <w:pPr>
        <w:numPr>
          <w:ilvl w:val="0"/>
          <w:numId w:val="2"/>
        </w:numPr>
        <w:shd w:val="clear" w:color="auto" w:fill="FFFFFF"/>
        <w:spacing w:before="120"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lastRenderedPageBreak/>
        <w:t>The name of the repository(</w:t>
      </w:r>
      <w:proofErr w:type="spellStart"/>
      <w:r w:rsidRPr="0020450C">
        <w:rPr>
          <w:rFonts w:ascii="Nunito Sans" w:eastAsia="Times New Roman" w:hAnsi="Nunito Sans" w:cs="Times New Roman"/>
          <w:color w:val="212529"/>
          <w:kern w:val="0"/>
          <w:sz w:val="27"/>
          <w:szCs w:val="27"/>
          <w14:ligatures w14:val="none"/>
        </w:rPr>
        <w:t>ies</w:t>
      </w:r>
      <w:proofErr w:type="spellEnd"/>
      <w:r w:rsidRPr="0020450C">
        <w:rPr>
          <w:rFonts w:ascii="Nunito Sans" w:eastAsia="Times New Roman" w:hAnsi="Nunito Sans" w:cs="Times New Roman"/>
          <w:color w:val="212529"/>
          <w:kern w:val="0"/>
          <w:sz w:val="27"/>
          <w:szCs w:val="27"/>
          <w14:ligatures w14:val="none"/>
        </w:rPr>
        <w:t>) where scientific data and metadata arising from the project will be archived. See </w:t>
      </w:r>
      <w:hyperlink r:id="rId5" w:history="1">
        <w:r w:rsidRPr="0020450C">
          <w:rPr>
            <w:rFonts w:ascii="Nunito Sans" w:eastAsia="Times New Roman" w:hAnsi="Nunito Sans" w:cs="Times New Roman"/>
            <w:color w:val="0000FF"/>
            <w:kern w:val="0"/>
            <w:sz w:val="27"/>
            <w:szCs w:val="27"/>
            <w:u w:val="single"/>
            <w14:ligatures w14:val="none"/>
          </w:rPr>
          <w:t>Selecting a Data Repository</w:t>
        </w:r>
      </w:hyperlink>
      <w:r w:rsidRPr="0020450C">
        <w:rPr>
          <w:rFonts w:ascii="Nunito Sans" w:eastAsia="Times New Roman" w:hAnsi="Nunito Sans" w:cs="Times New Roman"/>
          <w:color w:val="212529"/>
          <w:kern w:val="0"/>
          <w:sz w:val="27"/>
          <w:szCs w:val="27"/>
          <w14:ligatures w14:val="none"/>
        </w:rPr>
        <w:t> for information on selecting an appropriate repository. </w:t>
      </w:r>
    </w:p>
    <w:p w14:paraId="690BDE09" w14:textId="77777777" w:rsidR="0020450C" w:rsidRPr="0020450C" w:rsidRDefault="0020450C" w:rsidP="0020450C">
      <w:pPr>
        <w:numPr>
          <w:ilvl w:val="0"/>
          <w:numId w:val="2"/>
        </w:numPr>
        <w:shd w:val="clear" w:color="auto" w:fill="FFFFFF"/>
        <w:spacing w:before="120"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How the scientific data will be findable and identifiable, i.e., via a persistent unique identifier or other standard indexing tools.</w:t>
      </w:r>
    </w:p>
    <w:p w14:paraId="0751EA1F" w14:textId="77777777" w:rsidR="0020450C" w:rsidRPr="0020450C" w:rsidRDefault="0020450C" w:rsidP="0020450C">
      <w:pPr>
        <w:numPr>
          <w:ilvl w:val="0"/>
          <w:numId w:val="2"/>
        </w:numPr>
        <w:shd w:val="clear" w:color="auto" w:fill="FFFFFF"/>
        <w:spacing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When the scientific data will be made available to other users and for how long. Identify any differences in timelines for different subsets of scientific data to be shared.</w:t>
      </w:r>
    </w:p>
    <w:p w14:paraId="6C8F5B7C" w14:textId="77777777" w:rsidR="0020450C" w:rsidRPr="0020450C" w:rsidRDefault="0020450C" w:rsidP="0020450C">
      <w:pPr>
        <w:numPr>
          <w:ilvl w:val="1"/>
          <w:numId w:val="2"/>
        </w:numPr>
        <w:shd w:val="clear" w:color="auto" w:fill="FFFFFF"/>
        <w:spacing w:before="120"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Note that NIH encourages scientific data to be shared as soon as possible, and no later than the time of an associated publication or end of the performance period, whichever comes first. NIH also encourages researchers to make scientific data available for as long as they anticipate it being useful for the larger research community, institutions, and/or the broader public.</w:t>
      </w:r>
    </w:p>
    <w:p w14:paraId="52B5950A" w14:textId="77777777" w:rsidR="0020450C" w:rsidRPr="0020450C" w:rsidRDefault="0020450C" w:rsidP="0020450C">
      <w:pPr>
        <w:shd w:val="clear" w:color="auto" w:fill="FFFFFF"/>
        <w:spacing w:after="100" w:afterAutospacing="1" w:line="240" w:lineRule="auto"/>
        <w:ind w:left="144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b/>
          <w:bCs/>
          <w:color w:val="212529"/>
          <w:kern w:val="0"/>
          <w:sz w:val="27"/>
          <w:szCs w:val="27"/>
          <w14:ligatures w14:val="none"/>
        </w:rPr>
        <w:t>For data subject to the GDS Policy:</w:t>
      </w:r>
    </w:p>
    <w:p w14:paraId="1B23772D" w14:textId="77777777" w:rsidR="0020450C" w:rsidRPr="0020450C" w:rsidRDefault="0020450C" w:rsidP="0020450C">
      <w:pPr>
        <w:numPr>
          <w:ilvl w:val="1"/>
          <w:numId w:val="2"/>
        </w:numPr>
        <w:shd w:val="clear" w:color="auto" w:fill="FFFFFF"/>
        <w:spacing w:before="120" w:after="100" w:afterAutospacing="1" w:line="240" w:lineRule="auto"/>
        <w:ind w:left="216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For human</w:t>
      </w:r>
      <w:r w:rsidRPr="0020450C">
        <w:rPr>
          <w:rFonts w:ascii="Nunito Sans" w:eastAsia="Times New Roman" w:hAnsi="Nunito Sans" w:cs="Times New Roman"/>
          <w:i/>
          <w:iCs/>
          <w:color w:val="212529"/>
          <w:kern w:val="0"/>
          <w:sz w:val="27"/>
          <w:szCs w:val="27"/>
          <w14:ligatures w14:val="none"/>
        </w:rPr>
        <w:t> </w:t>
      </w:r>
      <w:r w:rsidRPr="0020450C">
        <w:rPr>
          <w:rFonts w:ascii="Nunito Sans" w:eastAsia="Times New Roman" w:hAnsi="Nunito Sans" w:cs="Times New Roman"/>
          <w:color w:val="212529"/>
          <w:kern w:val="0"/>
          <w:sz w:val="27"/>
          <w:szCs w:val="27"/>
          <w14:ligatures w14:val="none"/>
        </w:rPr>
        <w:t>genomic data:</w:t>
      </w:r>
    </w:p>
    <w:p w14:paraId="3A9FCB52" w14:textId="77777777" w:rsidR="0020450C" w:rsidRPr="0020450C" w:rsidRDefault="0020450C" w:rsidP="0020450C">
      <w:pPr>
        <w:numPr>
          <w:ilvl w:val="2"/>
          <w:numId w:val="2"/>
        </w:numPr>
        <w:shd w:val="clear" w:color="auto" w:fill="FFFFFF"/>
        <w:spacing w:before="120" w:after="100" w:afterAutospacing="1" w:line="240" w:lineRule="auto"/>
        <w:ind w:left="288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Investigators are expected to submit data to a repository acceptable under the Genomic Data Sharing Policy. See </w:t>
      </w:r>
      <w:hyperlink r:id="rId6" w:history="1">
        <w:r w:rsidRPr="0020450C">
          <w:rPr>
            <w:rFonts w:ascii="Nunito Sans" w:eastAsia="Times New Roman" w:hAnsi="Nunito Sans" w:cs="Times New Roman"/>
            <w:color w:val="0000FF"/>
            <w:kern w:val="0"/>
            <w:sz w:val="27"/>
            <w:szCs w:val="27"/>
            <w:u w:val="single"/>
            <w14:ligatures w14:val="none"/>
          </w:rPr>
          <w:t>Where to Submit Genomic Data</w:t>
        </w:r>
      </w:hyperlink>
      <w:r w:rsidRPr="0020450C">
        <w:rPr>
          <w:rFonts w:ascii="Nunito Sans" w:eastAsia="Times New Roman" w:hAnsi="Nunito Sans" w:cs="Times New Roman"/>
          <w:color w:val="212529"/>
          <w:kern w:val="0"/>
          <w:sz w:val="27"/>
          <w:szCs w:val="27"/>
          <w14:ligatures w14:val="none"/>
        </w:rPr>
        <w:t>.</w:t>
      </w:r>
    </w:p>
    <w:p w14:paraId="1F47D7B1" w14:textId="77777777" w:rsidR="0020450C" w:rsidRPr="0020450C" w:rsidRDefault="0020450C" w:rsidP="0020450C">
      <w:pPr>
        <w:numPr>
          <w:ilvl w:val="2"/>
          <w:numId w:val="2"/>
        </w:numPr>
        <w:shd w:val="clear" w:color="auto" w:fill="FFFFFF"/>
        <w:spacing w:before="120" w:after="100" w:afterAutospacing="1" w:line="240" w:lineRule="auto"/>
        <w:ind w:left="288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Human genomic data is expected to be shared according to NIH’s </w:t>
      </w:r>
      <w:hyperlink r:id="rId7" w:history="1">
        <w:r w:rsidRPr="0020450C">
          <w:rPr>
            <w:rFonts w:ascii="Nunito Sans" w:eastAsia="Times New Roman" w:hAnsi="Nunito Sans" w:cs="Times New Roman"/>
            <w:color w:val="0000FF"/>
            <w:kern w:val="0"/>
            <w:sz w:val="27"/>
            <w:szCs w:val="27"/>
            <w:u w:val="single"/>
            <w14:ligatures w14:val="none"/>
          </w:rPr>
          <w:t>Data Submission and Release Expectations</w:t>
        </w:r>
      </w:hyperlink>
      <w:r w:rsidRPr="0020450C">
        <w:rPr>
          <w:rFonts w:ascii="Nunito Sans" w:eastAsia="Times New Roman" w:hAnsi="Nunito Sans" w:cs="Times New Roman"/>
          <w:color w:val="212529"/>
          <w:kern w:val="0"/>
          <w:sz w:val="27"/>
          <w:szCs w:val="27"/>
          <w14:ligatures w14:val="none"/>
        </w:rPr>
        <w:t>, but no later than the end of the performance period, whichever comes first. </w:t>
      </w:r>
    </w:p>
    <w:p w14:paraId="222A5F0B" w14:textId="77777777" w:rsidR="0020450C" w:rsidRPr="0020450C" w:rsidRDefault="0020450C" w:rsidP="0020450C">
      <w:pPr>
        <w:numPr>
          <w:ilvl w:val="1"/>
          <w:numId w:val="2"/>
        </w:numPr>
        <w:shd w:val="clear" w:color="auto" w:fill="FFFFFF"/>
        <w:spacing w:before="120" w:after="100" w:afterAutospacing="1" w:line="240" w:lineRule="auto"/>
        <w:ind w:left="216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 xml:space="preserve">For </w:t>
      </w:r>
      <w:proofErr w:type="gramStart"/>
      <w:r w:rsidRPr="0020450C">
        <w:rPr>
          <w:rFonts w:ascii="Nunito Sans" w:eastAsia="Times New Roman" w:hAnsi="Nunito Sans" w:cs="Times New Roman"/>
          <w:color w:val="212529"/>
          <w:kern w:val="0"/>
          <w:sz w:val="27"/>
          <w:szCs w:val="27"/>
          <w14:ligatures w14:val="none"/>
        </w:rPr>
        <w:t>Non-human</w:t>
      </w:r>
      <w:proofErr w:type="gramEnd"/>
      <w:r w:rsidRPr="0020450C">
        <w:rPr>
          <w:rFonts w:ascii="Nunito Sans" w:eastAsia="Times New Roman" w:hAnsi="Nunito Sans" w:cs="Times New Roman"/>
          <w:color w:val="212529"/>
          <w:kern w:val="0"/>
          <w:sz w:val="27"/>
          <w:szCs w:val="27"/>
          <w14:ligatures w14:val="none"/>
        </w:rPr>
        <w:t xml:space="preserve"> genomic data:</w:t>
      </w:r>
    </w:p>
    <w:p w14:paraId="4E8CF63F" w14:textId="77777777" w:rsidR="0020450C" w:rsidRPr="0020450C" w:rsidRDefault="0020450C" w:rsidP="0020450C">
      <w:pPr>
        <w:numPr>
          <w:ilvl w:val="2"/>
          <w:numId w:val="2"/>
        </w:numPr>
        <w:shd w:val="clear" w:color="auto" w:fill="FFFFFF"/>
        <w:spacing w:before="120" w:after="100" w:afterAutospacing="1" w:line="240" w:lineRule="auto"/>
        <w:ind w:left="288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Investigators may submit data to any widely used repository.</w:t>
      </w:r>
    </w:p>
    <w:p w14:paraId="10CFB325" w14:textId="77777777" w:rsidR="0020450C" w:rsidRPr="0020450C" w:rsidRDefault="0020450C" w:rsidP="0020450C">
      <w:pPr>
        <w:numPr>
          <w:ilvl w:val="2"/>
          <w:numId w:val="2"/>
        </w:numPr>
        <w:shd w:val="clear" w:color="auto" w:fill="FFFFFF"/>
        <w:spacing w:before="120" w:after="100" w:afterAutospacing="1" w:line="240" w:lineRule="auto"/>
        <w:ind w:left="288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Non-human genomic data is expected to be shared as soon as possible, but no later than the time of an associated publication, or end of the performance period, whichever is first.</w:t>
      </w:r>
    </w:p>
    <w:p w14:paraId="0B184745" w14:textId="77777777" w:rsidR="0020450C" w:rsidRPr="0020450C" w:rsidRDefault="0020450C" w:rsidP="0020450C">
      <w:pPr>
        <w:shd w:val="clear" w:color="auto" w:fill="FFFFFF"/>
        <w:spacing w:after="100" w:afterAutospacing="1" w:line="240" w:lineRule="auto"/>
        <w:outlineLvl w:val="4"/>
        <w:rPr>
          <w:rFonts w:ascii="Nunito Sans" w:eastAsia="Times New Roman" w:hAnsi="Nunito Sans" w:cs="Times New Roman"/>
          <w:b/>
          <w:bCs/>
          <w:color w:val="212529"/>
          <w:kern w:val="0"/>
          <w:sz w:val="20"/>
          <w:szCs w:val="20"/>
          <w14:ligatures w14:val="none"/>
        </w:rPr>
      </w:pPr>
      <w:r w:rsidRPr="0020450C">
        <w:rPr>
          <w:rFonts w:ascii="Nunito Sans" w:eastAsia="Times New Roman" w:hAnsi="Nunito Sans" w:cs="Times New Roman"/>
          <w:b/>
          <w:bCs/>
          <w:color w:val="212529"/>
          <w:kern w:val="0"/>
          <w:sz w:val="20"/>
          <w:szCs w:val="20"/>
          <w14:ligatures w14:val="none"/>
        </w:rPr>
        <w:lastRenderedPageBreak/>
        <w:t>5.  Access, Distribution, or Reuse Considerations</w:t>
      </w:r>
    </w:p>
    <w:p w14:paraId="3D72D7B7" w14:textId="77777777" w:rsidR="0020450C" w:rsidRPr="0020450C" w:rsidRDefault="0020450C" w:rsidP="0020450C">
      <w:pPr>
        <w:shd w:val="clear" w:color="auto" w:fill="FFFFFF"/>
        <w:spacing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Describe any applicable factors affecting subsequent access, distribution, or reuse of scientific data related to:</w:t>
      </w:r>
    </w:p>
    <w:p w14:paraId="79CA636A" w14:textId="77777777" w:rsidR="0020450C" w:rsidRPr="0020450C" w:rsidRDefault="0020450C" w:rsidP="0020450C">
      <w:pPr>
        <w:numPr>
          <w:ilvl w:val="0"/>
          <w:numId w:val="3"/>
        </w:numPr>
        <w:shd w:val="clear" w:color="auto" w:fill="FFFFFF"/>
        <w:spacing w:before="120"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Informed consent</w:t>
      </w:r>
    </w:p>
    <w:p w14:paraId="6454D4D7" w14:textId="77777777" w:rsidR="0020450C" w:rsidRPr="0020450C" w:rsidRDefault="0020450C" w:rsidP="0020450C">
      <w:pPr>
        <w:numPr>
          <w:ilvl w:val="0"/>
          <w:numId w:val="3"/>
        </w:numPr>
        <w:shd w:val="clear" w:color="auto" w:fill="FFFFFF"/>
        <w:spacing w:before="120"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Privacy and confidentiality protections consistent with applicable federal, Tribal, state, and local laws, regulations, and policies</w:t>
      </w:r>
    </w:p>
    <w:p w14:paraId="25761559" w14:textId="77777777" w:rsidR="0020450C" w:rsidRPr="0020450C" w:rsidRDefault="0020450C" w:rsidP="0020450C">
      <w:pPr>
        <w:numPr>
          <w:ilvl w:val="0"/>
          <w:numId w:val="3"/>
        </w:numPr>
        <w:shd w:val="clear" w:color="auto" w:fill="FFFFFF"/>
        <w:spacing w:before="120"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Whether access to scientific data derived from humans will be controlled </w:t>
      </w:r>
    </w:p>
    <w:p w14:paraId="3E1DB79F" w14:textId="77777777" w:rsidR="0020450C" w:rsidRPr="0020450C" w:rsidRDefault="0020450C" w:rsidP="0020450C">
      <w:pPr>
        <w:numPr>
          <w:ilvl w:val="0"/>
          <w:numId w:val="3"/>
        </w:numPr>
        <w:shd w:val="clear" w:color="auto" w:fill="FFFFFF"/>
        <w:spacing w:before="120"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Any restrictions imposed by federal, Tribal, or state laws, regulations, or policies, or existing or anticipated agreements</w:t>
      </w:r>
    </w:p>
    <w:p w14:paraId="151A22C2" w14:textId="77777777" w:rsidR="0020450C" w:rsidRPr="0020450C" w:rsidRDefault="0020450C" w:rsidP="0020450C">
      <w:pPr>
        <w:numPr>
          <w:ilvl w:val="0"/>
          <w:numId w:val="3"/>
        </w:numPr>
        <w:shd w:val="clear" w:color="auto" w:fill="FFFFFF"/>
        <w:spacing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Any other considerations that may limit the extent of data sharing. Any potential limitations on subsequent data use should be communicated to the individuals or entities (for example, data repository managers) that will preserve and share the scientific data. The NIH ICO will assess whether an applicant’s DMS plan appropriately considers and describes these factors. For more examples, see </w:t>
      </w:r>
      <w:hyperlink r:id="rId8" w:anchor="/data-management-and-sharing-policy.htm" w:history="1">
        <w:r w:rsidRPr="0020450C">
          <w:rPr>
            <w:rFonts w:ascii="Nunito Sans" w:eastAsia="Times New Roman" w:hAnsi="Nunito Sans" w:cs="Times New Roman"/>
            <w:color w:val="0000FF"/>
            <w:kern w:val="0"/>
            <w:sz w:val="27"/>
            <w:szCs w:val="27"/>
            <w:u w:val="single"/>
            <w14:ligatures w14:val="none"/>
          </w:rPr>
          <w:t>Frequently Asked Questions</w:t>
        </w:r>
      </w:hyperlink>
      <w:r w:rsidRPr="0020450C">
        <w:rPr>
          <w:rFonts w:ascii="Nunito Sans" w:eastAsia="Times New Roman" w:hAnsi="Nunito Sans" w:cs="Times New Roman"/>
          <w:color w:val="212529"/>
          <w:kern w:val="0"/>
          <w:sz w:val="27"/>
          <w:szCs w:val="27"/>
          <w14:ligatures w14:val="none"/>
        </w:rPr>
        <w:t> for examples of justifiable reasons for limiting sharing of data.</w:t>
      </w:r>
    </w:p>
    <w:p w14:paraId="26B437B5" w14:textId="77777777" w:rsidR="0020450C" w:rsidRPr="0020450C" w:rsidRDefault="0020450C" w:rsidP="0020450C">
      <w:pPr>
        <w:shd w:val="clear" w:color="auto" w:fill="FFFFFF"/>
        <w:spacing w:after="100" w:afterAutospacing="1" w:line="240" w:lineRule="auto"/>
        <w:ind w:left="144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b/>
          <w:bCs/>
          <w:color w:val="212529"/>
          <w:kern w:val="0"/>
          <w:sz w:val="27"/>
          <w:szCs w:val="27"/>
          <w14:ligatures w14:val="none"/>
        </w:rPr>
        <w:t>Expectations for human genomic data subject to the GDS Policy:</w:t>
      </w:r>
    </w:p>
    <w:p w14:paraId="6AC9DC50" w14:textId="77777777" w:rsidR="0020450C" w:rsidRPr="0020450C" w:rsidRDefault="0020450C" w:rsidP="0020450C">
      <w:pPr>
        <w:numPr>
          <w:ilvl w:val="1"/>
          <w:numId w:val="3"/>
        </w:numPr>
        <w:shd w:val="clear" w:color="auto" w:fill="FFFFFF"/>
        <w:spacing w:before="120" w:after="100" w:afterAutospacing="1" w:line="240" w:lineRule="auto"/>
        <w:ind w:left="216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Informed Consent Expectations: </w:t>
      </w:r>
    </w:p>
    <w:p w14:paraId="5D15E6CA" w14:textId="77777777" w:rsidR="0020450C" w:rsidRPr="0020450C" w:rsidRDefault="0020450C" w:rsidP="0020450C">
      <w:pPr>
        <w:numPr>
          <w:ilvl w:val="2"/>
          <w:numId w:val="3"/>
        </w:numPr>
        <w:shd w:val="clear" w:color="auto" w:fill="FFFFFF"/>
        <w:spacing w:before="120" w:after="100" w:afterAutospacing="1" w:line="240" w:lineRule="auto"/>
        <w:ind w:left="288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For research involving the generation of large-scale human genomic data from cell lines or clinical specimens that were created or collected </w:t>
      </w:r>
      <w:r w:rsidRPr="0020450C">
        <w:rPr>
          <w:rFonts w:ascii="Nunito Sans" w:eastAsia="Times New Roman" w:hAnsi="Nunito Sans" w:cs="Times New Roman"/>
          <w:b/>
          <w:bCs/>
          <w:color w:val="212529"/>
          <w:kern w:val="0"/>
          <w:sz w:val="27"/>
          <w:szCs w:val="27"/>
          <w:u w:val="single"/>
          <w14:ligatures w14:val="none"/>
        </w:rPr>
        <w:t>AFTER</w:t>
      </w:r>
      <w:r w:rsidRPr="0020450C">
        <w:rPr>
          <w:rFonts w:ascii="Nunito Sans" w:eastAsia="Times New Roman" w:hAnsi="Nunito Sans" w:cs="Times New Roman"/>
          <w:b/>
          <w:bCs/>
          <w:color w:val="212529"/>
          <w:kern w:val="0"/>
          <w:sz w:val="27"/>
          <w:szCs w:val="27"/>
          <w14:ligatures w14:val="none"/>
        </w:rPr>
        <w:t> the effective date of the GDS Policy (January 25, 2015):</w:t>
      </w:r>
    </w:p>
    <w:p w14:paraId="2C43CBCB" w14:textId="77777777" w:rsidR="0020450C" w:rsidRPr="0020450C" w:rsidRDefault="0020450C" w:rsidP="0020450C">
      <w:pPr>
        <w:numPr>
          <w:ilvl w:val="3"/>
          <w:numId w:val="3"/>
        </w:numPr>
        <w:shd w:val="clear" w:color="auto" w:fill="FFFFFF"/>
        <w:spacing w:before="120" w:after="100" w:afterAutospacing="1" w:line="240" w:lineRule="auto"/>
        <w:ind w:left="360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 xml:space="preserve">NIH expects that informed consent for future research use and broad data sharing will have been obtained. This expectation applies to de-identified cell lines or clinical specimens regardless of whether the data meet technical </w:t>
      </w:r>
      <w:r w:rsidRPr="0020450C">
        <w:rPr>
          <w:rFonts w:ascii="Nunito Sans" w:eastAsia="Times New Roman" w:hAnsi="Nunito Sans" w:cs="Times New Roman"/>
          <w:color w:val="212529"/>
          <w:kern w:val="0"/>
          <w:sz w:val="27"/>
          <w:szCs w:val="27"/>
          <w14:ligatures w14:val="none"/>
        </w:rPr>
        <w:lastRenderedPageBreak/>
        <w:t>and/or legal definitions of de-identified (i.e. the research does not meet the definition of “human subjects research” under the Common Rule).</w:t>
      </w:r>
    </w:p>
    <w:p w14:paraId="3FEE009D" w14:textId="77777777" w:rsidR="0020450C" w:rsidRPr="0020450C" w:rsidRDefault="0020450C" w:rsidP="0020450C">
      <w:pPr>
        <w:numPr>
          <w:ilvl w:val="2"/>
          <w:numId w:val="3"/>
        </w:numPr>
        <w:shd w:val="clear" w:color="auto" w:fill="FFFFFF"/>
        <w:spacing w:before="120" w:after="100" w:afterAutospacing="1" w:line="240" w:lineRule="auto"/>
        <w:ind w:left="288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For research involving the generation of large-scale human genomic data from cell lines or clinical specimens that were created or collected </w:t>
      </w:r>
      <w:r w:rsidRPr="0020450C">
        <w:rPr>
          <w:rFonts w:ascii="Nunito Sans" w:eastAsia="Times New Roman" w:hAnsi="Nunito Sans" w:cs="Times New Roman"/>
          <w:b/>
          <w:bCs/>
          <w:color w:val="212529"/>
          <w:kern w:val="0"/>
          <w:sz w:val="27"/>
          <w:szCs w:val="27"/>
          <w:u w:val="single"/>
          <w14:ligatures w14:val="none"/>
        </w:rPr>
        <w:t>BEFORE</w:t>
      </w:r>
      <w:r w:rsidRPr="0020450C">
        <w:rPr>
          <w:rFonts w:ascii="Nunito Sans" w:eastAsia="Times New Roman" w:hAnsi="Nunito Sans" w:cs="Times New Roman"/>
          <w:b/>
          <w:bCs/>
          <w:color w:val="212529"/>
          <w:kern w:val="0"/>
          <w:sz w:val="27"/>
          <w:szCs w:val="27"/>
          <w14:ligatures w14:val="none"/>
        </w:rPr>
        <w:t> the effective date of the GDS Policy:</w:t>
      </w:r>
    </w:p>
    <w:p w14:paraId="289A6705" w14:textId="77777777" w:rsidR="0020450C" w:rsidRPr="0020450C" w:rsidRDefault="0020450C" w:rsidP="0020450C">
      <w:pPr>
        <w:numPr>
          <w:ilvl w:val="3"/>
          <w:numId w:val="3"/>
        </w:numPr>
        <w:shd w:val="clear" w:color="auto" w:fill="FFFFFF"/>
        <w:spacing w:before="120" w:after="100" w:afterAutospacing="1" w:line="240" w:lineRule="auto"/>
        <w:ind w:left="360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There may or may not have been consent for research use and broad data sharing. NIH will accept data derived from de-identified cell lines or clinical specimens lacking consent for research use that were created or collected before the effective date of this Policy. </w:t>
      </w:r>
    </w:p>
    <w:p w14:paraId="466EF871" w14:textId="77777777" w:rsidR="0020450C" w:rsidRPr="0020450C" w:rsidRDefault="0020450C" w:rsidP="0020450C">
      <w:pPr>
        <w:numPr>
          <w:ilvl w:val="1"/>
          <w:numId w:val="3"/>
        </w:numPr>
        <w:shd w:val="clear" w:color="auto" w:fill="FFFFFF"/>
        <w:spacing w:before="120" w:after="100" w:afterAutospacing="1" w:line="240" w:lineRule="auto"/>
        <w:ind w:left="216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Institutional Certifications and Data Sharing Limitation Expectations:</w:t>
      </w:r>
    </w:p>
    <w:p w14:paraId="2A3DE7C9" w14:textId="77777777" w:rsidR="0020450C" w:rsidRPr="0020450C" w:rsidRDefault="0020450C" w:rsidP="0020450C">
      <w:pPr>
        <w:numPr>
          <w:ilvl w:val="2"/>
          <w:numId w:val="3"/>
        </w:numPr>
        <w:shd w:val="clear" w:color="auto" w:fill="FFFFFF"/>
        <w:spacing w:before="120" w:after="100" w:afterAutospacing="1" w:line="240" w:lineRule="auto"/>
        <w:ind w:left="288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DMS Plans should address limitations on sharing by anticipating sharing according to the criteria of the </w:t>
      </w:r>
      <w:hyperlink r:id="rId9" w:history="1">
        <w:r w:rsidRPr="0020450C">
          <w:rPr>
            <w:rFonts w:ascii="Nunito Sans" w:eastAsia="Times New Roman" w:hAnsi="Nunito Sans" w:cs="Times New Roman"/>
            <w:color w:val="0000FF"/>
            <w:kern w:val="0"/>
            <w:sz w:val="27"/>
            <w:szCs w:val="27"/>
            <w:u w:val="single"/>
            <w14:ligatures w14:val="none"/>
          </w:rPr>
          <w:t>Institutional Certification</w:t>
        </w:r>
      </w:hyperlink>
      <w:r w:rsidRPr="0020450C">
        <w:rPr>
          <w:rFonts w:ascii="Nunito Sans" w:eastAsia="Times New Roman" w:hAnsi="Nunito Sans" w:cs="Times New Roman"/>
          <w:color w:val="212529"/>
          <w:kern w:val="0"/>
          <w:sz w:val="27"/>
          <w:szCs w:val="27"/>
          <w14:ligatures w14:val="none"/>
        </w:rPr>
        <w:t>.</w:t>
      </w:r>
    </w:p>
    <w:p w14:paraId="23F1D09B" w14:textId="77777777" w:rsidR="0020450C" w:rsidRPr="0020450C" w:rsidRDefault="0020450C" w:rsidP="0020450C">
      <w:pPr>
        <w:numPr>
          <w:ilvl w:val="2"/>
          <w:numId w:val="3"/>
        </w:numPr>
        <w:shd w:val="clear" w:color="auto" w:fill="FFFFFF"/>
        <w:spacing w:before="120" w:after="100" w:afterAutospacing="1" w:line="240" w:lineRule="auto"/>
        <w:ind w:left="288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In cases where it is anticipated that Institutional Certification criteria cannot be met (i.e., data cannot be shared as expected by the GDS Policy), investigators should state the institutional Certification criteria in their DMS Plan, explaining why the element cannot be met, and indicating what data, if any, can be shared and how to enable sharing to the maximal extent possible (for example, sharing data in a summary format). In some instances, the funding NIH ICO may need to determine whether to grant an exception to the data submission expectation under the GDS Policy.</w:t>
      </w:r>
    </w:p>
    <w:p w14:paraId="0EDC81D5" w14:textId="77777777" w:rsidR="0020450C" w:rsidRPr="0020450C" w:rsidRDefault="0020450C" w:rsidP="0020450C">
      <w:pPr>
        <w:numPr>
          <w:ilvl w:val="1"/>
          <w:numId w:val="3"/>
        </w:numPr>
        <w:shd w:val="clear" w:color="auto" w:fill="FFFFFF"/>
        <w:spacing w:before="120" w:after="100" w:afterAutospacing="1" w:line="240" w:lineRule="auto"/>
        <w:ind w:left="216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Genomic Summary Results: </w:t>
      </w:r>
    </w:p>
    <w:p w14:paraId="3C6D92B5" w14:textId="77777777" w:rsidR="0020450C" w:rsidRPr="0020450C" w:rsidRDefault="0020450C" w:rsidP="0020450C">
      <w:pPr>
        <w:numPr>
          <w:ilvl w:val="2"/>
          <w:numId w:val="3"/>
        </w:numPr>
        <w:shd w:val="clear" w:color="auto" w:fill="FFFFFF"/>
        <w:spacing w:before="120" w:after="100" w:afterAutospacing="1" w:line="240" w:lineRule="auto"/>
        <w:ind w:left="2880"/>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lastRenderedPageBreak/>
        <w:t>Investigators conducting research subject to the GDS Policy should indicate in their DMS Plan if a study should be designated as “sensitive” for the purposes of access to Genomic Summary Results (GSR), as described in </w:t>
      </w:r>
      <w:hyperlink r:id="rId10" w:tgtFrame="_blank" w:history="1">
        <w:r w:rsidRPr="0020450C">
          <w:rPr>
            <w:rFonts w:ascii="Nunito Sans" w:eastAsia="Times New Roman" w:hAnsi="Nunito Sans" w:cs="Times New Roman"/>
            <w:color w:val="0000FF"/>
            <w:kern w:val="0"/>
            <w:sz w:val="27"/>
            <w:szCs w:val="27"/>
            <w:u w:val="single"/>
            <w14:ligatures w14:val="none"/>
          </w:rPr>
          <w:t>NOT-OD-19-023</w:t>
        </w:r>
      </w:hyperlink>
      <w:r w:rsidRPr="0020450C">
        <w:rPr>
          <w:rFonts w:ascii="Nunito Sans" w:eastAsia="Times New Roman" w:hAnsi="Nunito Sans" w:cs="Times New Roman"/>
          <w:color w:val="212529"/>
          <w:kern w:val="0"/>
          <w:sz w:val="27"/>
          <w:szCs w:val="27"/>
          <w14:ligatures w14:val="none"/>
        </w:rPr>
        <w:t>.</w:t>
      </w:r>
    </w:p>
    <w:p w14:paraId="52A20AC9" w14:textId="77777777" w:rsidR="0020450C" w:rsidRPr="0020450C" w:rsidRDefault="0020450C" w:rsidP="0020450C">
      <w:pPr>
        <w:shd w:val="clear" w:color="auto" w:fill="FFFFFF"/>
        <w:spacing w:after="100" w:afterAutospacing="1" w:line="240" w:lineRule="auto"/>
        <w:outlineLvl w:val="4"/>
        <w:rPr>
          <w:rFonts w:ascii="Nunito Sans" w:eastAsia="Times New Roman" w:hAnsi="Nunito Sans" w:cs="Times New Roman"/>
          <w:b/>
          <w:bCs/>
          <w:color w:val="212529"/>
          <w:kern w:val="0"/>
          <w:sz w:val="20"/>
          <w:szCs w:val="20"/>
          <w14:ligatures w14:val="none"/>
        </w:rPr>
      </w:pPr>
      <w:r w:rsidRPr="0020450C">
        <w:rPr>
          <w:rFonts w:ascii="Nunito Sans" w:eastAsia="Times New Roman" w:hAnsi="Nunito Sans" w:cs="Times New Roman"/>
          <w:b/>
          <w:bCs/>
          <w:color w:val="212529"/>
          <w:kern w:val="0"/>
          <w:sz w:val="20"/>
          <w:szCs w:val="20"/>
          <w14:ligatures w14:val="none"/>
        </w:rPr>
        <w:t>6.  Oversight of Data Management and Sharing</w:t>
      </w:r>
    </w:p>
    <w:p w14:paraId="2D84A37A" w14:textId="77777777" w:rsidR="0020450C" w:rsidRPr="0020450C" w:rsidRDefault="0020450C" w:rsidP="0020450C">
      <w:pPr>
        <w:shd w:val="clear" w:color="auto" w:fill="FFFFFF"/>
        <w:spacing w:after="100" w:afterAutospacing="1" w:line="240" w:lineRule="auto"/>
        <w:rPr>
          <w:rFonts w:ascii="Nunito Sans" w:eastAsia="Times New Roman" w:hAnsi="Nunito Sans" w:cs="Times New Roman"/>
          <w:color w:val="212529"/>
          <w:kern w:val="0"/>
          <w:sz w:val="27"/>
          <w:szCs w:val="27"/>
          <w14:ligatures w14:val="none"/>
        </w:rPr>
      </w:pPr>
      <w:r w:rsidRPr="0020450C">
        <w:rPr>
          <w:rFonts w:ascii="Nunito Sans" w:eastAsia="Times New Roman" w:hAnsi="Nunito Sans" w:cs="Times New Roman"/>
          <w:color w:val="212529"/>
          <w:kern w:val="0"/>
          <w:sz w:val="27"/>
          <w:szCs w:val="27"/>
          <w14:ligatures w14:val="none"/>
        </w:rPr>
        <w:t>Indicate how compliance with the DMS Plan will be monitored and managed, the frequency of oversight, and by whom (e.g., title, roles). This element refers to oversight by the funded institution, rather than by NIH. The DMS Policy does not create any expectations about who will be responsible for Plan oversight at the institution.</w:t>
      </w:r>
    </w:p>
    <w:p w14:paraId="6CE3D83E" w14:textId="77777777" w:rsidR="004E71EC" w:rsidRDefault="004E71EC"/>
    <w:sectPr w:rsidR="004E7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D26"/>
    <w:multiLevelType w:val="multilevel"/>
    <w:tmpl w:val="DB607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14EFE"/>
    <w:multiLevelType w:val="multilevel"/>
    <w:tmpl w:val="5970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F5EEC"/>
    <w:multiLevelType w:val="multilevel"/>
    <w:tmpl w:val="7EF4E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288612">
    <w:abstractNumId w:val="1"/>
  </w:num>
  <w:num w:numId="2" w16cid:durableId="251933194">
    <w:abstractNumId w:val="0"/>
  </w:num>
  <w:num w:numId="3" w16cid:durableId="40904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0C"/>
    <w:rsid w:val="001C702E"/>
    <w:rsid w:val="0020450C"/>
    <w:rsid w:val="002A3907"/>
    <w:rsid w:val="004E71EC"/>
    <w:rsid w:val="00C1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E1B3"/>
  <w15:chartTrackingRefBased/>
  <w15:docId w15:val="{DE96E607-86B6-4AAE-848C-7E9DB078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0450C"/>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0450C"/>
    <w:rPr>
      <w:rFonts w:ascii="Times New Roman" w:eastAsia="Times New Roman" w:hAnsi="Times New Roman" w:cs="Times New Roman"/>
      <w:b/>
      <w:bCs/>
      <w:kern w:val="0"/>
      <w:sz w:val="20"/>
      <w:szCs w:val="20"/>
      <w14:ligatures w14:val="none"/>
    </w:rPr>
  </w:style>
  <w:style w:type="character" w:styleId="Strong">
    <w:name w:val="Strong"/>
    <w:basedOn w:val="DefaultParagraphFont"/>
    <w:uiPriority w:val="22"/>
    <w:qFormat/>
    <w:rsid w:val="0020450C"/>
    <w:rPr>
      <w:b/>
      <w:bCs/>
    </w:rPr>
  </w:style>
  <w:style w:type="paragraph" w:styleId="NormalWeb">
    <w:name w:val="Normal (Web)"/>
    <w:basedOn w:val="Normal"/>
    <w:uiPriority w:val="99"/>
    <w:semiHidden/>
    <w:unhideWhenUsed/>
    <w:rsid w:val="002045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0450C"/>
    <w:rPr>
      <w:color w:val="0000FF"/>
      <w:u w:val="single"/>
    </w:rPr>
  </w:style>
  <w:style w:type="character" w:styleId="Emphasis">
    <w:name w:val="Emphasis"/>
    <w:basedOn w:val="DefaultParagraphFont"/>
    <w:uiPriority w:val="20"/>
    <w:qFormat/>
    <w:rsid w:val="00204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87567">
      <w:bodyDiv w:val="1"/>
      <w:marLeft w:val="0"/>
      <w:marRight w:val="0"/>
      <w:marTop w:val="0"/>
      <w:marBottom w:val="0"/>
      <w:divBdr>
        <w:top w:val="none" w:sz="0" w:space="0" w:color="auto"/>
        <w:left w:val="none" w:sz="0" w:space="0" w:color="auto"/>
        <w:bottom w:val="none" w:sz="0" w:space="0" w:color="auto"/>
        <w:right w:val="none" w:sz="0" w:space="0" w:color="auto"/>
      </w:divBdr>
    </w:div>
    <w:div w:id="2043825485">
      <w:bodyDiv w:val="1"/>
      <w:marLeft w:val="0"/>
      <w:marRight w:val="0"/>
      <w:marTop w:val="0"/>
      <w:marBottom w:val="0"/>
      <w:divBdr>
        <w:top w:val="none" w:sz="0" w:space="0" w:color="auto"/>
        <w:left w:val="none" w:sz="0" w:space="0" w:color="auto"/>
        <w:bottom w:val="none" w:sz="0" w:space="0" w:color="auto"/>
        <w:right w:val="none" w:sz="0" w:space="0" w:color="auto"/>
      </w:divBdr>
      <w:divsChild>
        <w:div w:id="1740445710">
          <w:blockQuote w:val="1"/>
          <w:marLeft w:val="720"/>
          <w:marRight w:val="720"/>
          <w:marTop w:val="100"/>
          <w:marBottom w:val="100"/>
          <w:divBdr>
            <w:top w:val="single" w:sz="24" w:space="0" w:color="E9ECEF"/>
            <w:left w:val="single" w:sz="24" w:space="0" w:color="auto"/>
            <w:bottom w:val="single" w:sz="24" w:space="0" w:color="E9ECEF"/>
            <w:right w:val="single" w:sz="24" w:space="0" w:color="E9ECEF"/>
          </w:divBdr>
        </w:div>
        <w:div w:id="1555198350">
          <w:blockQuote w:val="1"/>
          <w:marLeft w:val="720"/>
          <w:marRight w:val="720"/>
          <w:marTop w:val="100"/>
          <w:marBottom w:val="100"/>
          <w:divBdr>
            <w:top w:val="single" w:sz="24" w:space="0" w:color="E9ECEF"/>
            <w:left w:val="single" w:sz="24" w:space="0" w:color="auto"/>
            <w:bottom w:val="single" w:sz="24" w:space="0" w:color="E9ECEF"/>
            <w:right w:val="single" w:sz="24" w:space="0" w:color="E9EC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ing.nih.gov/faqs" TargetMode="External"/><Relationship Id="rId3" Type="http://schemas.openxmlformats.org/officeDocument/2006/relationships/settings" Target="settings.xml"/><Relationship Id="rId7" Type="http://schemas.openxmlformats.org/officeDocument/2006/relationships/hyperlink" Target="https://sharing.nih.gov/genomic-data-sharing-policy/submitting-genomic-data/data-submission-and-release-expec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aring.nih.gov/genomic-data-sharing-policy/submitting-genomic-data/where-to-submit-genomic-data" TargetMode="External"/><Relationship Id="rId11" Type="http://schemas.openxmlformats.org/officeDocument/2006/relationships/fontTable" Target="fontTable.xml"/><Relationship Id="rId5" Type="http://schemas.openxmlformats.org/officeDocument/2006/relationships/hyperlink" Target="https://sharing.nih.gov/data-management-and-sharing-policy/sharing-scientific-data/selecting-a-data-repository" TargetMode="External"/><Relationship Id="rId10" Type="http://schemas.openxmlformats.org/officeDocument/2006/relationships/hyperlink" Target="https://grants.nih.gov/grants/guide/notice-files/NOT-OD-19-023.html" TargetMode="External"/><Relationship Id="rId4" Type="http://schemas.openxmlformats.org/officeDocument/2006/relationships/webSettings" Target="webSettings.xml"/><Relationship Id="rId9" Type="http://schemas.openxmlformats.org/officeDocument/2006/relationships/hyperlink" Target="https://sharing.nih.gov/genomic-data-sharing-policy/institutional-certifications/about-institutional-cer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1111</Words>
  <Characters>6336</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 Goose</dc:creator>
  <cp:keywords/>
  <dc:description/>
  <cp:lastModifiedBy>Doctor Goose</cp:lastModifiedBy>
  <cp:revision>1</cp:revision>
  <dcterms:created xsi:type="dcterms:W3CDTF">2024-01-16T14:52:00Z</dcterms:created>
  <dcterms:modified xsi:type="dcterms:W3CDTF">2024-01-16T15:13:00Z</dcterms:modified>
</cp:coreProperties>
</file>