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0.svg" ContentType="image/svg+xml"/>
  <Override PartName="/word/media/image12.svg" ContentType="image/svg+xml"/>
  <Override PartName="/word/media/image14.svg" ContentType="image/svg+xml"/>
  <Override PartName="/word/media/image16.svg" ContentType="image/svg+xml"/>
  <Override PartName="/word/media/image18.svg" ContentType="image/svg+xml"/>
  <Override PartName="/word/media/image2.svg" ContentType="image/svg+xml"/>
  <Override PartName="/word/media/image20.svg" ContentType="image/svg+xml"/>
  <Override PartName="/word/media/image22.svg" ContentType="image/svg+xml"/>
  <Override PartName="/word/media/image24.svg" ContentType="image/svg+xml"/>
  <Override PartName="/word/media/image26.svg" ContentType="image/svg+xml"/>
  <Override PartName="/word/media/image28.svg" ContentType="image/svg+xml"/>
  <Override PartName="/word/media/image30.svg" ContentType="image/svg+xml"/>
  <Override PartName="/word/media/image32.svg" ContentType="image/svg+xml"/>
  <Override PartName="/word/media/image34.svg" ContentType="image/svg+xml"/>
  <Override PartName="/word/media/image4.svg" ContentType="image/svg+xml"/>
  <Override PartName="/word/media/image6.svg" ContentType="image/svg+xml"/>
  <Override PartName="/word/media/image8.svg" ContentType="image/sv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C++ 22.3.0 -->
  <w:body>
    <w:p>
      <w:pPr>
        <w:pStyle w:val="Title"/>
        <w:jc w:val="center"/>
        <w:rPr>
          <w:b/>
          <w:bCs/>
        </w:rPr>
      </w:pPr>
      <w:r>
        <w:rPr>
          <w:rFonts w:asciiTheme="minorHAnsi" w:hAnsiTheme="minorHAnsi"/>
          <w:b/>
          <w:bCs/>
        </w:rPr>
        <w:t>Report</w:t>
      </w:r>
    </w:p>
    <w:p/>
    <w:p/>
    <w:p>
      <w:pPr>
        <w:rPr>
          <w:b/>
          <w:bCs/>
          <w:sz w:val="24"/>
          <w:szCs w:val="24"/>
        </w:rPr>
      </w:pPr>
    </w:p>
    <w:p>
      <w:pPr>
        <w:rPr>
          <w:sz w:val="24"/>
          <w:szCs w:val="24"/>
        </w:rPr>
      </w:pPr>
      <w:r>
        <w:rPr>
          <w:b/>
          <w:bCs/>
          <w:sz w:val="24"/>
          <w:szCs w:val="24"/>
        </w:rPr>
        <w:t>Run: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LCT.mlxtran</w:t>
      </w:r>
    </w:p>
    <w:p>
      <w:pPr>
        <w:rPr>
          <w:sz w:val="24"/>
          <w:szCs w:val="24"/>
        </w:rPr>
      </w:pPr>
      <w:r>
        <w:rPr>
          <w:b/>
          <w:bCs/>
          <w:sz w:val="24"/>
          <w:szCs w:val="24"/>
        </w:rPr>
        <w:t>Dataset: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LCT_Data.csv</w:t>
      </w:r>
    </w:p>
    <w:p>
      <w:pPr>
        <w:rPr>
          <w:sz w:val="24"/>
          <w:szCs w:val="24"/>
        </w:rPr>
      </w:pPr>
      <w:r>
        <w:rPr>
          <w:b/>
          <w:bCs/>
          <w:sz w:val="24"/>
          <w:szCs w:val="24"/>
        </w:rPr>
        <w:t>Date: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06-19-2024</w:t>
      </w:r>
    </w:p>
    <w:p/>
    <w:p>
      <w:pPr>
        <w:pStyle w:val="Heading1"/>
      </w:pPr>
      <w:r>
        <w:t>Tables</w:t>
      </w:r>
    </w:p>
    <w:p/>
    <w:p>
      <w:pPr>
        <w:jc w:val="left"/>
      </w:pPr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t>1</w:t>
      </w:r>
      <w:r>
        <w:fldChar w:fldCharType="end"/>
      </w:r>
      <w:r>
        <w:t xml:space="preserve">: </w:t>
      </w:r>
      <w:r>
        <w:t>Estimated population parameters</w:t>
      </w:r>
    </w:p>
    <w:tbl>
      <w:tblPr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</w:tblPr>
      <w:tblGrid>
        <w:gridCol w:w="1367"/>
        <w:gridCol w:w="1074"/>
        <w:gridCol w:w="1521"/>
        <w:gridCol w:w="1298"/>
      </w:tblGrid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c>
          <w:tcPr>
            <w:vMerge w:val="restart"/>
            <w:vAlign w:val="center"/>
          </w:tcPr>
          <w:p>
            <w:pPr>
              <w:jc w:val="center"/>
            </w:pPr>
            <w:r>
              <w:t>Parameter</w:t>
            </w:r>
          </w:p>
        </w:tc>
        <w:tc>
          <w:tcPr>
            <w:vMerge w:val="restart"/>
            <w:vAlign w:val="center"/>
          </w:tcPr>
          <w:p>
            <w:pPr>
              <w:jc w:val="center"/>
            </w:pPr>
            <w:r>
              <w:t>Value</w:t>
            </w:r>
          </w:p>
        </w:tc>
        <w:tc>
          <w:tcPr>
            <w:gridSpan w:val="2"/>
            <w:vAlign w:val="center"/>
          </w:tcPr>
          <w:p>
            <w:pPr>
              <w:jc w:val="center"/>
            </w:pPr>
            <w:r>
              <w:t>STOCH. APPROX.</w:t>
            </w:r>
          </w:p>
        </w:tc>
      </w:tr>
      <w:tr>
        <w:tblPrEx>
          <w:tblCellMar>
            <w:left w:w="108" w:type="dxa"/>
            <w:right w:w="108" w:type="dxa"/>
          </w:tblCellMar>
        </w:tblPrEx>
        <w:tc>
          <w:tcPr>
            <w:vMerge/>
            <w:vAlign w:val="center"/>
          </w:tcPr>
          <w:p>
            <w:pPr>
              <w:jc w:val="center"/>
            </w:pPr>
          </w:p>
        </w:tc>
        <w:tc>
          <w:tcPr>
            <w:vMerge/>
            <w:vAlign w:val="center"/>
          </w:tcPr>
          <w:p>
            <w:pPr>
              <w:jc w:val="center"/>
            </w:pPr>
          </w:p>
        </w:tc>
        <w:tc>
          <w:tcPr>
            <w:vAlign w:val="center"/>
          </w:tcPr>
          <w:p>
            <w:pPr>
              <w:jc w:val="center"/>
            </w:pPr>
            <w:r>
              <w:t>S.E.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>R.S.E.(%)</w:t>
            </w:r>
          </w:p>
        </w:tc>
      </w:tr>
      <w:tr>
        <w:tblPrEx>
          <w:tblCellMar>
            <w:left w:w="108" w:type="dxa"/>
            <w:right w:w="108" w:type="dxa"/>
          </w:tblCellMar>
        </w:tblPrEx>
        <w:tc>
          <w:tcPr>
            <w:gridSpan w:val="4"/>
            <w:vAlign w:val="center"/>
          </w:tcPr>
          <w:p>
            <w:pPr>
              <w:jc w:val="center"/>
            </w:pPr>
            <w:r>
              <w:t>Fixed Effects</w:t>
            </w:r>
          </w:p>
        </w:tc>
      </w:tr>
      <w:tr>
        <w:tblPrEx>
          <w:tblCellMar>
            <w:left w:w="108" w:type="dxa"/>
            <w:right w:w="108" w:type="dxa"/>
          </w:tblCellMar>
        </w:tblPrEx>
        <w:tc>
          <w:tcPr>
            <w:vAlign w:val="center"/>
          </w:tcPr>
          <w:p>
            <w:pPr>
              <w:jc w:val="center"/>
            </w:pPr>
            <w:r>
              <w:t>beta_pop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>0.000176</w:t>
            </w:r>
          </w:p>
        </w:tc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0.0000000898</w:t>
            </w:r>
          </w:p>
        </w:tc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0.0511</w:t>
            </w:r>
          </w:p>
        </w:tc>
      </w:tr>
      <w:tr>
        <w:tblPrEx>
          <w:tblCellMar>
            <w:left w:w="108" w:type="dxa"/>
            <w:right w:w="108" w:type="dxa"/>
          </w:tblCellMar>
        </w:tblPrEx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k_pop</w:t>
            </w:r>
          </w:p>
        </w:tc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</w:p>
        </w:tc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</w:p>
        </w:tc>
      </w:tr>
      <w:tr>
        <w:tblPrEx>
          <w:tblCellMar>
            <w:left w:w="108" w:type="dxa"/>
            <w:right w:w="108" w:type="dxa"/>
          </w:tblCellMar>
        </w:tblPrEx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p_pop</w:t>
            </w:r>
          </w:p>
        </w:tc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0.0311</w:t>
            </w:r>
          </w:p>
        </w:tc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NaN</w:t>
            </w:r>
          </w:p>
        </w:tc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NaN</w:t>
            </w:r>
          </w:p>
        </w:tc>
      </w:tr>
      <w:tr>
        <w:tblPrEx>
          <w:tblCellMar>
            <w:left w:w="108" w:type="dxa"/>
            <w:right w:w="108" w:type="dxa"/>
          </w:tblCellMar>
        </w:tblPrEx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c_pop</w:t>
            </w:r>
          </w:p>
        </w:tc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54.62</w:t>
            </w:r>
          </w:p>
        </w:tc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NaN</w:t>
            </w:r>
          </w:p>
        </w:tc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NaN</w:t>
            </w:r>
          </w:p>
        </w:tc>
      </w:tr>
      <w:tr>
        <w:tblPrEx>
          <w:tblCellMar>
            <w:left w:w="108" w:type="dxa"/>
            <w:right w:w="108" w:type="dxa"/>
          </w:tblCellMar>
        </w:tblPrEx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delta_pop</w:t>
            </w:r>
          </w:p>
        </w:tc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0.911</w:t>
            </w:r>
          </w:p>
        </w:tc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NaN</w:t>
            </w:r>
          </w:p>
        </w:tc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NaN</w:t>
            </w:r>
          </w:p>
        </w:tc>
      </w:tr>
      <w:tr>
        <w:tblPrEx>
          <w:tblCellMar>
            <w:left w:w="108" w:type="dxa"/>
            <w:right w:w="108" w:type="dxa"/>
          </w:tblCellMar>
        </w:tblPrEx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delta_E_pop</w:t>
            </w:r>
          </w:p>
        </w:tc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3.57</w:t>
            </w:r>
          </w:p>
        </w:tc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NaN</w:t>
            </w:r>
          </w:p>
        </w:tc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NaN</w:t>
            </w:r>
          </w:p>
        </w:tc>
      </w:tr>
      <w:tr>
        <w:tblPrEx>
          <w:tblCellMar>
            <w:left w:w="108" w:type="dxa"/>
            <w:right w:w="108" w:type="dxa"/>
          </w:tblCellMar>
        </w:tblPrEx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Kd_pop</w:t>
            </w:r>
          </w:p>
        </w:tc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116.455</w:t>
            </w:r>
          </w:p>
        </w:tc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NaN</w:t>
            </w:r>
          </w:p>
        </w:tc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NaN</w:t>
            </w:r>
          </w:p>
        </w:tc>
      </w:tr>
      <w:tr>
        <w:tblPrEx>
          <w:tblCellMar>
            <w:left w:w="108" w:type="dxa"/>
            <w:right w:w="108" w:type="dxa"/>
          </w:tblCellMar>
        </w:tblPrEx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xi_pop</w:t>
            </w:r>
          </w:p>
        </w:tc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0.0176</w:t>
            </w:r>
          </w:p>
        </w:tc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NaN</w:t>
            </w:r>
          </w:p>
        </w:tc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NaN</w:t>
            </w:r>
          </w:p>
        </w:tc>
      </w:tr>
      <w:tr>
        <w:tblPrEx>
          <w:tblCellMar>
            <w:left w:w="108" w:type="dxa"/>
            <w:right w:w="108" w:type="dxa"/>
          </w:tblCellMar>
        </w:tblPrEx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d_E_pop</w:t>
            </w:r>
          </w:p>
        </w:tc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0.454</w:t>
            </w:r>
          </w:p>
        </w:tc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NaN</w:t>
            </w:r>
          </w:p>
        </w:tc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NaN</w:t>
            </w:r>
          </w:p>
        </w:tc>
      </w:tr>
      <w:tr>
        <w:tblPrEx>
          <w:tblCellMar>
            <w:left w:w="108" w:type="dxa"/>
            <w:right w:w="108" w:type="dxa"/>
          </w:tblCellMar>
        </w:tblPrEx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a_pop</w:t>
            </w:r>
          </w:p>
        </w:tc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0.556</w:t>
            </w:r>
          </w:p>
        </w:tc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NaN</w:t>
            </w:r>
          </w:p>
        </w:tc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NaN</w:t>
            </w:r>
          </w:p>
        </w:tc>
      </w:tr>
      <w:tr>
        <w:tblPrEx>
          <w:tblCellMar>
            <w:left w:w="108" w:type="dxa"/>
            <w:right w:w="108" w:type="dxa"/>
          </w:tblCellMar>
        </w:tblPrEx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tau_pop</w:t>
            </w:r>
          </w:p>
        </w:tc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1.485</w:t>
            </w:r>
          </w:p>
        </w:tc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NaN</w:t>
            </w:r>
          </w:p>
        </w:tc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NaN</w:t>
            </w:r>
          </w:p>
        </w:tc>
      </w:tr>
      <w:tr>
        <w:tblPrEx>
          <w:tblCellMar>
            <w:left w:w="108" w:type="dxa"/>
            <w:right w:w="108" w:type="dxa"/>
          </w:tblCellMar>
        </w:tblPrEx>
        <w:tc>
          <w:tcPr>
            <w:gridSpan w:val="4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Error Model Parameters</w:t>
            </w:r>
          </w:p>
        </w:tc>
      </w:tr>
      <w:tr>
        <w:tblPrEx>
          <w:tblCellMar>
            <w:left w:w="108" w:type="dxa"/>
            <w:right w:w="108" w:type="dxa"/>
          </w:tblCellMar>
        </w:tblPrEx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a1</w:t>
            </w:r>
          </w:p>
        </w:tc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NaN</w:t>
            </w:r>
          </w:p>
        </w:tc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NaN</w:t>
            </w:r>
          </w:p>
        </w:tc>
      </w:tr>
      <w:tr>
        <w:tblPrEx>
          <w:tblCellMar>
            <w:left w:w="108" w:type="dxa"/>
            <w:right w:w="108" w:type="dxa"/>
          </w:tblCellMar>
        </w:tblPrEx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b1</w:t>
            </w:r>
          </w:p>
        </w:tc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287.066</w:t>
            </w:r>
          </w:p>
        </w:tc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17.701</w:t>
            </w:r>
          </w:p>
        </w:tc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6.166</w:t>
            </w:r>
          </w:p>
        </w:tc>
      </w:tr>
      <w:tr>
        <w:tblPrEx>
          <w:tblCellMar>
            <w:left w:w="108" w:type="dxa"/>
            <w:right w:w="108" w:type="dxa"/>
          </w:tblCellMar>
        </w:tblPrEx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a2</w:t>
            </w:r>
          </w:p>
        </w:tc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12.195</w:t>
            </w:r>
          </w:p>
        </w:tc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25149.791</w:t>
            </w:r>
          </w:p>
        </w:tc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206234.905</w:t>
            </w:r>
          </w:p>
        </w:tc>
      </w:tr>
      <w:tr>
        <w:tblPrEx>
          <w:tblCellMar>
            <w:left w:w="108" w:type="dxa"/>
            <w:right w:w="108" w:type="dxa"/>
          </w:tblCellMar>
        </w:tblPrEx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b2</w:t>
            </w:r>
          </w:p>
        </w:tc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2.059</w:t>
            </w:r>
          </w:p>
        </w:tc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0.16</w:t>
            </w:r>
          </w:p>
        </w:tc>
        <w:tc>
          <w:tcPr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7.787</w:t>
            </w:r>
          </w:p>
        </w:tc>
      </w:tr>
    </w:tbl>
    <w:p>
      <w:pPr>
        <w:jc w:val="center"/>
      </w:pPr>
    </w:p>
    <w:p/>
    <w:p/>
    <w:p>
      <w:pPr>
        <w:jc w:val="left"/>
      </w:pPr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t>2</w:t>
      </w:r>
      <w:r>
        <w:fldChar w:fldCharType="end"/>
      </w:r>
      <w:r>
        <w:t xml:space="preserve">: </w:t>
      </w:r>
      <w:r>
        <w:t>Log-likelihood and Information criteria</w:t>
      </w:r>
    </w:p>
    <w:tbl>
      <w:tblPr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</w:tblPr>
      <w:tblGrid>
        <w:gridCol w:w="4368"/>
        <w:gridCol w:w="2472"/>
      </w:tblGrid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c>
          <w:tcPr>
            <w:vAlign w:val="center"/>
          </w:tcPr>
          <w:p>
            <w:pPr>
              <w:jc w:val="center"/>
            </w:pPr>
            <w:r>
              <w:t>CRITERIA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>IMPORTANCE SAMPLING</w:t>
            </w:r>
          </w:p>
        </w:tc>
      </w:tr>
      <w:tr>
        <w:tblPrEx>
          <w:tblCellMar>
            <w:left w:w="108" w:type="dxa"/>
            <w:right w:w="108" w:type="dxa"/>
          </w:tblCellMar>
        </w:tblPrEx>
        <w:tc>
          <w:tcPr>
            <w:vAlign w:val="center"/>
          </w:tcPr>
          <w:p>
            <w:pPr>
              <w:jc w:val="center"/>
            </w:pPr>
            <w:r>
              <w:t>-2 x log-likelihood (OFV)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>6688.1</w:t>
            </w:r>
          </w:p>
        </w:tc>
      </w:tr>
      <w:tr>
        <w:tblPrEx>
          <w:tblCellMar>
            <w:left w:w="108" w:type="dxa"/>
            <w:right w:w="108" w:type="dxa"/>
          </w:tblCellMar>
        </w:tblPrEx>
        <w:tc>
          <w:tcPr>
            <w:vAlign w:val="center"/>
          </w:tcPr>
          <w:p>
            <w:pPr>
              <w:jc w:val="center"/>
            </w:pPr>
            <w:r>
              <w:t>Akaike Information Criteria (AIC)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>6716.1</w:t>
            </w:r>
          </w:p>
        </w:tc>
      </w:tr>
      <w:tr>
        <w:tblPrEx>
          <w:tblCellMar>
            <w:left w:w="108" w:type="dxa"/>
            <w:right w:w="108" w:type="dxa"/>
          </w:tblCellMar>
        </w:tblPrEx>
        <w:tc>
          <w:tcPr>
            <w:vAlign w:val="center"/>
          </w:tcPr>
          <w:p>
            <w:pPr>
              <w:jc w:val="center"/>
            </w:pPr>
            <w:r>
              <w:t>Bayesian Information Criteria (BIC)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>6729.3</w:t>
            </w:r>
          </w:p>
        </w:tc>
      </w:tr>
      <w:tr>
        <w:tblPrEx>
          <w:tblCellMar>
            <w:left w:w="108" w:type="dxa"/>
            <w:right w:w="108" w:type="dxa"/>
          </w:tblCellMar>
        </w:tblPrEx>
        <w:tc>
          <w:tcPr>
            <w:vAlign w:val="center"/>
          </w:tcPr>
          <w:p>
            <w:pPr>
              <w:jc w:val="center"/>
            </w:pPr>
            <w:r>
              <w:t>Corrected Bayesian Information Criteria (BICc)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>6766.9</w:t>
            </w:r>
          </w:p>
        </w:tc>
      </w:tr>
    </w:tbl>
    <w:p>
      <w:pPr>
        <w:jc w:val="center"/>
      </w:pPr>
    </w:p>
    <w:p>
      <w:bookmarkStart w:id="0" w:name="_GoBack"/>
      <w:bookmarkEnd w:id="0"/>
    </w:p>
    <w:p>
      <w:pPr>
        <w:pStyle w:val="Heading1"/>
        <w:rPr>
          <w:lang w:val="fr-FR"/>
        </w:rPr>
      </w:pPr>
      <w:r>
        <w:rPr>
          <w:lang w:val="fr-FR"/>
        </w:rPr>
        <w:t>Plots</w:t>
      </w:r>
    </w:p>
    <w:p>
      <w:pPr>
        <w:rPr>
          <w:lang w:val="fr-FR"/>
        </w:rPr>
      </w:pPr>
    </w:p>
    <w:p>
      <w:pPr>
        <w:jc w:val="left"/>
        <w:rPr>
          <w:lang w:val="fr-FR"/>
        </w:rPr>
      </w:pPr>
      <w:r>
        <w:rPr>
          <w:lang w:val="fr-FR"/>
        </w:rPr>
        <w:drawing>
          <wp:inline>
            <wp:extent cx="5760000" cy="44064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fldChar w:fldCharType="begin"/>
      </w:r>
      <w:r>
        <w:rPr>
          <w:lang w:val="fr-FR"/>
        </w:rPr>
        <w:instrText>SEQ Figure \* ARABIC</w:instrText>
      </w:r>
      <w:r>
        <w:rPr>
          <w:lang w:val="fr-FR"/>
        </w:rPr>
        <w:fldChar w:fldCharType="separate"/>
      </w:r>
      <w:r>
        <w:rPr>
          <w:lang w:val="fr-FR"/>
        </w:rPr>
        <w:t>1</w:t>
      </w:r>
      <w:r>
        <w:rPr>
          <w:lang w:val="fr-FR"/>
        </w:rPr>
        <w:fldChar w:fldCharType="end"/>
      </w:r>
      <w:r>
        <w:rPr>
          <w:lang w:val="fr-FR"/>
        </w:rPr>
        <w:t xml:space="preserve">: </w:t>
      </w:r>
      <w:r>
        <w:rPr>
          <w:lang w:val="fr-FR"/>
        </w:rPr>
        <w:t>Observed data</w:t>
      </w:r>
    </w:p>
    <w:p>
      <w:pPr>
        <w:rPr>
          <w:lang w:val="fr-FR"/>
        </w:rPr>
      </w:pPr>
    </w:p>
    <w:p>
      <w:pPr>
        <w:rPr>
          <w:lang w:val="fr-FR"/>
        </w:rPr>
      </w:pPr>
    </w:p>
    <w:p>
      <w:pPr>
        <w:jc w:val="left"/>
        <w:rPr>
          <w:lang w:val="fr-FR"/>
        </w:rPr>
      </w:pPr>
      <w:r>
        <w:rPr>
          <w:lang w:val="fr-FR"/>
        </w:rPr>
        <w:drawing>
          <wp:inline>
            <wp:extent cx="5760000" cy="440640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fldChar w:fldCharType="begin"/>
      </w:r>
      <w:r>
        <w:rPr>
          <w:lang w:val="fr-FR"/>
        </w:rPr>
        <w:instrText>SEQ Figure \* ARABIC</w:instrText>
      </w:r>
      <w:r>
        <w:rPr>
          <w:lang w:val="fr-FR"/>
        </w:rPr>
        <w:fldChar w:fldCharType="separate"/>
      </w:r>
      <w:r>
        <w:rPr>
          <w:lang w:val="fr-FR"/>
        </w:rPr>
        <w:t>2</w:t>
      </w:r>
      <w:r>
        <w:rPr>
          <w:lang w:val="fr-FR"/>
        </w:rPr>
        <w:fldChar w:fldCharType="end"/>
      </w:r>
      <w:r>
        <w:rPr>
          <w:lang w:val="fr-FR"/>
        </w:rPr>
        <w:t xml:space="preserve">: </w:t>
      </w:r>
      <w:r>
        <w:rPr>
          <w:lang w:val="fr-FR"/>
        </w:rPr>
        <w:t>Observed data</w:t>
      </w:r>
    </w:p>
    <w:p>
      <w:pPr>
        <w:rPr>
          <w:lang w:val="fr-FR"/>
        </w:rPr>
      </w:pPr>
    </w:p>
    <w:p>
      <w:pPr>
        <w:rPr>
          <w:lang w:val="fr-FR"/>
        </w:rPr>
      </w:pPr>
    </w:p>
    <w:p>
      <w:pPr>
        <w:jc w:val="left"/>
        <w:rPr>
          <w:lang w:val="fr-FR"/>
        </w:rPr>
      </w:pPr>
      <w:r>
        <w:rPr>
          <w:lang w:val="fr-FR"/>
        </w:rPr>
        <w:drawing>
          <wp:inline>
            <wp:extent cx="5760000" cy="45720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fldChar w:fldCharType="begin"/>
      </w:r>
      <w:r>
        <w:rPr>
          <w:lang w:val="fr-FR"/>
        </w:rPr>
        <w:instrText>SEQ Figure \* ARABIC</w:instrText>
      </w:r>
      <w:r>
        <w:rPr>
          <w:lang w:val="fr-FR"/>
        </w:rPr>
        <w:fldChar w:fldCharType="separate"/>
      </w:r>
      <w:r>
        <w:rPr>
          <w:lang w:val="fr-FR"/>
        </w:rPr>
        <w:t>3</w:t>
      </w:r>
      <w:r>
        <w:rPr>
          <w:lang w:val="fr-FR"/>
        </w:rPr>
        <w:fldChar w:fldCharType="end"/>
      </w:r>
      <w:r>
        <w:rPr>
          <w:lang w:val="fr-FR"/>
        </w:rPr>
        <w:t xml:space="preserve">: </w:t>
      </w:r>
      <w:r>
        <w:rPr>
          <w:lang w:val="fr-FR"/>
        </w:rPr>
        <w:t>Bivariate data viewer</w:t>
      </w:r>
    </w:p>
    <w:p>
      <w:pPr>
        <w:rPr>
          <w:lang w:val="fr-FR"/>
        </w:rPr>
      </w:pPr>
    </w:p>
    <w:p>
      <w:pPr>
        <w:rPr>
          <w:lang w:val="fr-FR"/>
        </w:rPr>
      </w:pPr>
    </w:p>
    <w:p>
      <w:pPr>
        <w:rPr>
          <w:lang w:val="fr-FR"/>
        </w:rPr>
      </w:pPr>
      <w:r>
        <w:rPr>
          <w:lang w:val="fr-FR"/>
        </w:rPr>
        <w:drawing>
          <wp:inline>
            <wp:extent cx="5760000" cy="44064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lang w:val="fr-FR"/>
        </w:rPr>
      </w:pPr>
      <w:r>
        <w:rPr>
          <w:lang w:val="fr-FR"/>
        </w:rPr>
        <w:drawing>
          <wp:inline>
            <wp:extent cx="5760000" cy="44064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fldChar w:fldCharType="begin"/>
      </w:r>
      <w:r>
        <w:rPr>
          <w:lang w:val="fr-FR"/>
        </w:rPr>
        <w:instrText>SEQ Figure \* ARABIC</w:instrText>
      </w:r>
      <w:r>
        <w:rPr>
          <w:lang w:val="fr-FR"/>
        </w:rPr>
        <w:fldChar w:fldCharType="separate"/>
      </w:r>
      <w:r>
        <w:rPr>
          <w:lang w:val="fr-FR"/>
        </w:rPr>
        <w:t>4</w:t>
      </w:r>
      <w:r>
        <w:rPr>
          <w:lang w:val="fr-FR"/>
        </w:rPr>
        <w:fldChar w:fldCharType="end"/>
      </w:r>
      <w:r>
        <w:rPr>
          <w:lang w:val="fr-FR"/>
        </w:rPr>
        <w:t xml:space="preserve">: </w:t>
      </w:r>
      <w:r>
        <w:rPr>
          <w:lang w:val="fr-FR"/>
        </w:rPr>
        <w:t>Individual fits</w:t>
      </w:r>
    </w:p>
    <w:p>
      <w:pPr>
        <w:rPr>
          <w:lang w:val="fr-FR"/>
        </w:rPr>
      </w:pPr>
    </w:p>
    <w:p>
      <w:pPr>
        <w:rPr>
          <w:lang w:val="fr-FR"/>
        </w:rPr>
      </w:pPr>
    </w:p>
    <w:p>
      <w:pPr>
        <w:rPr>
          <w:lang w:val="fr-FR"/>
        </w:rPr>
      </w:pPr>
      <w:r>
        <w:rPr>
          <w:lang w:val="fr-FR"/>
        </w:rPr>
        <w:drawing>
          <wp:inline>
            <wp:extent cx="5760000" cy="44064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lang w:val="fr-FR"/>
        </w:rPr>
      </w:pPr>
      <w:r>
        <w:rPr>
          <w:lang w:val="fr-FR"/>
        </w:rPr>
        <w:drawing>
          <wp:inline>
            <wp:extent cx="5760000" cy="44064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fldChar w:fldCharType="begin"/>
      </w:r>
      <w:r>
        <w:rPr>
          <w:lang w:val="fr-FR"/>
        </w:rPr>
        <w:instrText>SEQ Figure \* ARABIC</w:instrText>
      </w:r>
      <w:r>
        <w:rPr>
          <w:lang w:val="fr-FR"/>
        </w:rPr>
        <w:fldChar w:fldCharType="separate"/>
      </w:r>
      <w:r>
        <w:rPr>
          <w:lang w:val="fr-FR"/>
        </w:rPr>
        <w:t>5</w:t>
      </w:r>
      <w:r>
        <w:rPr>
          <w:lang w:val="fr-FR"/>
        </w:rPr>
        <w:fldChar w:fldCharType="end"/>
      </w:r>
      <w:r>
        <w:rPr>
          <w:lang w:val="fr-FR"/>
        </w:rPr>
        <w:t xml:space="preserve">: </w:t>
      </w:r>
      <w:r>
        <w:rPr>
          <w:lang w:val="fr-FR"/>
        </w:rPr>
        <w:t>Individual fits</w:t>
      </w:r>
    </w:p>
    <w:p>
      <w:pPr>
        <w:rPr>
          <w:lang w:val="fr-FR"/>
        </w:rPr>
      </w:pPr>
    </w:p>
    <w:p>
      <w:pPr>
        <w:rPr>
          <w:lang w:val="fr-FR"/>
        </w:rPr>
      </w:pPr>
    </w:p>
    <w:p>
      <w:pPr>
        <w:jc w:val="left"/>
        <w:rPr>
          <w:lang w:val="fr-FR"/>
        </w:rPr>
      </w:pPr>
      <w:r>
        <w:rPr>
          <w:lang w:val="fr-FR"/>
        </w:rPr>
        <w:drawing>
          <wp:inline>
            <wp:extent cx="5760000" cy="44064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fldChar w:fldCharType="begin"/>
      </w:r>
      <w:r>
        <w:rPr>
          <w:lang w:val="fr-FR"/>
        </w:rPr>
        <w:instrText>SEQ Figure \* ARABIC</w:instrText>
      </w:r>
      <w:r>
        <w:rPr>
          <w:lang w:val="fr-FR"/>
        </w:rPr>
        <w:fldChar w:fldCharType="separate"/>
      </w:r>
      <w:r>
        <w:rPr>
          <w:lang w:val="fr-FR"/>
        </w:rPr>
        <w:t>6</w:t>
      </w:r>
      <w:r>
        <w:rPr>
          <w:lang w:val="fr-FR"/>
        </w:rPr>
        <w:fldChar w:fldCharType="end"/>
      </w:r>
      <w:r>
        <w:rPr>
          <w:lang w:val="fr-FR"/>
        </w:rPr>
        <w:t xml:space="preserve">: </w:t>
      </w:r>
      <w:r>
        <w:rPr>
          <w:lang w:val="fr-FR"/>
        </w:rPr>
        <w:t>Observations vs predictions</w:t>
      </w:r>
    </w:p>
    <w:p>
      <w:pPr>
        <w:rPr>
          <w:lang w:val="fr-FR"/>
        </w:rPr>
      </w:pPr>
    </w:p>
    <w:p>
      <w:pPr>
        <w:rPr>
          <w:lang w:val="fr-FR"/>
        </w:rPr>
      </w:pPr>
    </w:p>
    <w:p>
      <w:pPr>
        <w:jc w:val="left"/>
        <w:rPr>
          <w:lang w:val="fr-FR"/>
        </w:rPr>
      </w:pPr>
      <w:r>
        <w:rPr>
          <w:lang w:val="fr-FR"/>
        </w:rPr>
        <w:drawing>
          <wp:inline>
            <wp:extent cx="5760000" cy="44064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fldChar w:fldCharType="begin"/>
      </w:r>
      <w:r>
        <w:rPr>
          <w:lang w:val="fr-FR"/>
        </w:rPr>
        <w:instrText>SEQ Figure \* ARABIC</w:instrText>
      </w:r>
      <w:r>
        <w:rPr>
          <w:lang w:val="fr-FR"/>
        </w:rPr>
        <w:fldChar w:fldCharType="separate"/>
      </w:r>
      <w:r>
        <w:rPr>
          <w:lang w:val="fr-FR"/>
        </w:rPr>
        <w:t>7</w:t>
      </w:r>
      <w:r>
        <w:rPr>
          <w:lang w:val="fr-FR"/>
        </w:rPr>
        <w:fldChar w:fldCharType="end"/>
      </w:r>
      <w:r>
        <w:rPr>
          <w:lang w:val="fr-FR"/>
        </w:rPr>
        <w:t xml:space="preserve">: </w:t>
      </w:r>
      <w:r>
        <w:rPr>
          <w:lang w:val="fr-FR"/>
        </w:rPr>
        <w:t>Observations vs predictions</w:t>
      </w:r>
    </w:p>
    <w:p>
      <w:pPr>
        <w:rPr>
          <w:lang w:val="fr-FR"/>
        </w:rPr>
      </w:pPr>
    </w:p>
    <w:p>
      <w:pPr>
        <w:rPr>
          <w:lang w:val="fr-FR"/>
        </w:rPr>
      </w:pPr>
    </w:p>
    <w:p>
      <w:pPr>
        <w:jc w:val="left"/>
        <w:rPr>
          <w:lang w:val="fr-FR"/>
        </w:rPr>
      </w:pPr>
      <w:r>
        <w:rPr>
          <w:lang w:val="fr-FR"/>
        </w:rPr>
        <w:drawing>
          <wp:inline>
            <wp:extent cx="5760000" cy="440640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fldChar w:fldCharType="begin"/>
      </w:r>
      <w:r>
        <w:rPr>
          <w:lang w:val="fr-FR"/>
        </w:rPr>
        <w:instrText>SEQ Figure \* ARABIC</w:instrText>
      </w:r>
      <w:r>
        <w:rPr>
          <w:lang w:val="fr-FR"/>
        </w:rPr>
        <w:fldChar w:fldCharType="separate"/>
      </w:r>
      <w:r>
        <w:rPr>
          <w:lang w:val="fr-FR"/>
        </w:rPr>
        <w:t>8</w:t>
      </w:r>
      <w:r>
        <w:rPr>
          <w:lang w:val="fr-FR"/>
        </w:rPr>
        <w:fldChar w:fldCharType="end"/>
      </w:r>
      <w:r>
        <w:rPr>
          <w:lang w:val="fr-FR"/>
        </w:rPr>
        <w:t xml:space="preserve">: </w:t>
      </w:r>
      <w:r>
        <w:rPr>
          <w:lang w:val="fr-FR"/>
        </w:rPr>
        <w:t>Scatter plot of the residuals</w:t>
      </w:r>
    </w:p>
    <w:p>
      <w:pPr>
        <w:rPr>
          <w:lang w:val="fr-FR"/>
        </w:rPr>
      </w:pPr>
    </w:p>
    <w:p>
      <w:pPr>
        <w:rPr>
          <w:lang w:val="fr-FR"/>
        </w:rPr>
      </w:pPr>
    </w:p>
    <w:p>
      <w:pPr>
        <w:jc w:val="left"/>
        <w:rPr>
          <w:lang w:val="fr-FR"/>
        </w:rPr>
      </w:pPr>
      <w:r>
        <w:rPr>
          <w:lang w:val="fr-FR"/>
        </w:rPr>
        <w:drawing>
          <wp:inline>
            <wp:extent cx="5760000" cy="4406400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fldChar w:fldCharType="begin"/>
      </w:r>
      <w:r>
        <w:rPr>
          <w:lang w:val="fr-FR"/>
        </w:rPr>
        <w:instrText>SEQ Figure \* ARABIC</w:instrText>
      </w:r>
      <w:r>
        <w:rPr>
          <w:lang w:val="fr-FR"/>
        </w:rPr>
        <w:fldChar w:fldCharType="separate"/>
      </w:r>
      <w:r>
        <w:rPr>
          <w:lang w:val="fr-FR"/>
        </w:rPr>
        <w:t>9</w:t>
      </w:r>
      <w:r>
        <w:rPr>
          <w:lang w:val="fr-FR"/>
        </w:rPr>
        <w:fldChar w:fldCharType="end"/>
      </w:r>
      <w:r>
        <w:rPr>
          <w:lang w:val="fr-FR"/>
        </w:rPr>
        <w:t xml:space="preserve">: </w:t>
      </w:r>
      <w:r>
        <w:rPr>
          <w:lang w:val="fr-FR"/>
        </w:rPr>
        <w:t>Scatter plot of the residuals</w:t>
      </w:r>
    </w:p>
    <w:p>
      <w:pPr>
        <w:rPr>
          <w:lang w:val="fr-FR"/>
        </w:rPr>
      </w:pPr>
    </w:p>
    <w:p>
      <w:pPr>
        <w:rPr>
          <w:lang w:val="fr-FR"/>
        </w:rPr>
      </w:pPr>
    </w:p>
    <w:p>
      <w:pPr>
        <w:jc w:val="left"/>
        <w:rPr>
          <w:lang w:val="fr-FR"/>
        </w:rPr>
      </w:pPr>
      <w:r>
        <w:rPr>
          <w:lang w:val="fr-FR"/>
        </w:rPr>
        <w:drawing>
          <wp:inline>
            <wp:extent cx="5760000" cy="4406400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fldChar w:fldCharType="begin"/>
      </w:r>
      <w:r>
        <w:rPr>
          <w:lang w:val="fr-FR"/>
        </w:rPr>
        <w:instrText>SEQ Figure \* ARABIC</w:instrText>
      </w:r>
      <w:r>
        <w:rPr>
          <w:lang w:val="fr-FR"/>
        </w:rPr>
        <w:fldChar w:fldCharType="separate"/>
      </w:r>
      <w:r>
        <w:rPr>
          <w:lang w:val="fr-FR"/>
        </w:rPr>
        <w:t>10</w:t>
      </w:r>
      <w:r>
        <w:rPr>
          <w:lang w:val="fr-FR"/>
        </w:rPr>
        <w:fldChar w:fldCharType="end"/>
      </w:r>
      <w:r>
        <w:rPr>
          <w:lang w:val="fr-FR"/>
        </w:rPr>
        <w:t xml:space="preserve">: </w:t>
      </w:r>
      <w:r>
        <w:rPr>
          <w:lang w:val="fr-FR"/>
        </w:rPr>
        <w:t>Distribution of the residuals</w:t>
      </w:r>
    </w:p>
    <w:p>
      <w:pPr>
        <w:rPr>
          <w:lang w:val="fr-FR"/>
        </w:rPr>
      </w:pPr>
    </w:p>
    <w:p>
      <w:pPr>
        <w:rPr>
          <w:lang w:val="fr-FR"/>
        </w:rPr>
      </w:pPr>
    </w:p>
    <w:p>
      <w:pPr>
        <w:jc w:val="left"/>
        <w:rPr>
          <w:lang w:val="fr-FR"/>
        </w:rPr>
      </w:pPr>
      <w:r>
        <w:rPr>
          <w:lang w:val="fr-FR"/>
        </w:rPr>
        <w:drawing>
          <wp:inline>
            <wp:extent cx="5760000" cy="4406400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fldChar w:fldCharType="begin"/>
      </w:r>
      <w:r>
        <w:rPr>
          <w:lang w:val="fr-FR"/>
        </w:rPr>
        <w:instrText>SEQ Figure \* ARABIC</w:instrText>
      </w:r>
      <w:r>
        <w:rPr>
          <w:lang w:val="fr-FR"/>
        </w:rPr>
        <w:fldChar w:fldCharType="separate"/>
      </w:r>
      <w:r>
        <w:rPr>
          <w:lang w:val="fr-FR"/>
        </w:rPr>
        <w:t>11</w:t>
      </w:r>
      <w:r>
        <w:rPr>
          <w:lang w:val="fr-FR"/>
        </w:rPr>
        <w:fldChar w:fldCharType="end"/>
      </w:r>
      <w:r>
        <w:rPr>
          <w:lang w:val="fr-FR"/>
        </w:rPr>
        <w:t xml:space="preserve">: </w:t>
      </w:r>
      <w:r>
        <w:rPr>
          <w:lang w:val="fr-FR"/>
        </w:rPr>
        <w:t>Distribution of the residuals</w:t>
      </w:r>
    </w:p>
    <w:p>
      <w:pPr>
        <w:rPr>
          <w:lang w:val="fr-FR"/>
        </w:rPr>
      </w:pPr>
    </w:p>
    <w:p>
      <w:pPr>
        <w:rPr>
          <w:lang w:val="fr-FR"/>
        </w:rPr>
      </w:pPr>
    </w:p>
    <w:p>
      <w:pPr>
        <w:jc w:val="left"/>
        <w:rPr>
          <w:lang w:val="fr-FR"/>
        </w:rPr>
      </w:pPr>
      <w:r>
        <w:rPr>
          <w:lang w:val="fr-FR"/>
        </w:rPr>
        <w:drawing>
          <wp:inline>
            <wp:extent cx="5760000" cy="4406400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fldChar w:fldCharType="begin"/>
      </w:r>
      <w:r>
        <w:rPr>
          <w:lang w:val="fr-FR"/>
        </w:rPr>
        <w:instrText>SEQ Figure \* ARABIC</w:instrText>
      </w:r>
      <w:r>
        <w:rPr>
          <w:lang w:val="fr-FR"/>
        </w:rPr>
        <w:fldChar w:fldCharType="separate"/>
      </w:r>
      <w:r>
        <w:rPr>
          <w:lang w:val="fr-FR"/>
        </w:rPr>
        <w:t>12</w:t>
      </w:r>
      <w:r>
        <w:rPr>
          <w:lang w:val="fr-FR"/>
        </w:rPr>
        <w:fldChar w:fldCharType="end"/>
      </w:r>
      <w:r>
        <w:rPr>
          <w:lang w:val="fr-FR"/>
        </w:rPr>
        <w:t xml:space="preserve">: </w:t>
      </w:r>
      <w:r>
        <w:rPr>
          <w:lang w:val="fr-FR"/>
        </w:rPr>
        <w:t>Visual predictive check</w:t>
      </w:r>
    </w:p>
    <w:p>
      <w:pPr>
        <w:rPr>
          <w:lang w:val="fr-FR"/>
        </w:rPr>
      </w:pPr>
    </w:p>
    <w:p>
      <w:pPr>
        <w:rPr>
          <w:lang w:val="fr-FR"/>
        </w:rPr>
      </w:pPr>
    </w:p>
    <w:p>
      <w:pPr>
        <w:jc w:val="left"/>
        <w:rPr>
          <w:lang w:val="fr-FR"/>
        </w:rPr>
      </w:pPr>
      <w:r>
        <w:rPr>
          <w:lang w:val="fr-FR"/>
        </w:rPr>
        <w:drawing>
          <wp:inline>
            <wp:extent cx="5760000" cy="4406400"/>
            <wp:docPr id="1000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fldChar w:fldCharType="begin"/>
      </w:r>
      <w:r>
        <w:rPr>
          <w:lang w:val="fr-FR"/>
        </w:rPr>
        <w:instrText>SEQ Figure \* ARABIC</w:instrText>
      </w:r>
      <w:r>
        <w:rPr>
          <w:lang w:val="fr-FR"/>
        </w:rPr>
        <w:fldChar w:fldCharType="separate"/>
      </w:r>
      <w:r>
        <w:rPr>
          <w:lang w:val="fr-FR"/>
        </w:rPr>
        <w:t>13</w:t>
      </w:r>
      <w:r>
        <w:rPr>
          <w:lang w:val="fr-FR"/>
        </w:rPr>
        <w:fldChar w:fldCharType="end"/>
      </w:r>
      <w:r>
        <w:rPr>
          <w:lang w:val="fr-FR"/>
        </w:rPr>
        <w:t xml:space="preserve">: </w:t>
      </w:r>
      <w:r>
        <w:rPr>
          <w:lang w:val="fr-FR"/>
        </w:rPr>
        <w:t>Visual predictive check</w:t>
      </w:r>
    </w:p>
    <w:p>
      <w:pPr>
        <w:rPr>
          <w:lang w:val="fr-FR"/>
        </w:rPr>
      </w:pPr>
    </w:p>
    <w:p>
      <w:pPr>
        <w:rPr>
          <w:lang w:val="fr-FR"/>
        </w:rPr>
      </w:pPr>
    </w:p>
    <w:p>
      <w:pPr>
        <w:rPr>
          <w:lang w:val="fr-FR"/>
        </w:rPr>
      </w:pPr>
      <w:r>
        <w:rPr>
          <w:lang w:val="fr-FR"/>
        </w:rPr>
        <w:drawing>
          <wp:inline>
            <wp:extent cx="5760000" cy="4406400"/>
            <wp:docPr id="10003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lang w:val="fr-FR"/>
        </w:rPr>
      </w:pPr>
      <w:r>
        <w:rPr>
          <w:lang w:val="fr-FR"/>
        </w:rPr>
        <w:drawing>
          <wp:inline>
            <wp:extent cx="5760000" cy="4406400"/>
            <wp:docPr id="10003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6">
                      <a:extLs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fldChar w:fldCharType="begin"/>
      </w:r>
      <w:r>
        <w:rPr>
          <w:lang w:val="fr-FR"/>
        </w:rPr>
        <w:instrText>SEQ Figure \* ARABIC</w:instrText>
      </w:r>
      <w:r>
        <w:rPr>
          <w:lang w:val="fr-FR"/>
        </w:rPr>
        <w:fldChar w:fldCharType="separate"/>
      </w:r>
      <w:r>
        <w:rPr>
          <w:lang w:val="fr-FR"/>
        </w:rPr>
        <w:t>14</w:t>
      </w:r>
      <w:r>
        <w:rPr>
          <w:lang w:val="fr-FR"/>
        </w:rPr>
        <w:fldChar w:fldCharType="end"/>
      </w:r>
      <w:r>
        <w:rPr>
          <w:lang w:val="fr-FR"/>
        </w:rPr>
        <w:t xml:space="preserve">: </w:t>
      </w:r>
      <w:r>
        <w:rPr>
          <w:lang w:val="fr-FR"/>
        </w:rPr>
        <w:t>SAEM</w:t>
      </w:r>
    </w:p>
    <w:p>
      <w:pPr>
        <w:rPr>
          <w:lang w:val="fr-FR"/>
        </w:rPr>
      </w:pPr>
    </w:p>
    <w:sectPr>
      <w:type w:val="nextPage"/>
      <w:pgSz w:w="12240" w:h="15840"/>
      <w:pgMar w:top="1440" w:right="1440" w:bottom="1440" w:left="1440" w:header="0" w:footer="0" w:gutter="0"/>
      <w:pgNumType w:fmt="decimal"/>
      <w:cols w:space="720"/>
      <w:formProt w:val="0"/>
      <w:textDirection w:val="lrTb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urier New">
    <w:charset w:val="01"/>
    <w:family w:val="roman"/>
    <w:pitch w:val="variabl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000"/>
  </w:rsids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/>
      <w:suppressAutoHyphens/>
      <w:bidi w:val="0"/>
      <w:spacing w:before="0" w:after="0" w:line="259" w:lineRule="auto"/>
      <w:jc w:val="left"/>
    </w:pPr>
    <w:rPr>
      <w:rFonts w:asciiTheme="minorHAnsi" w:eastAsiaTheme="minorHAnsi" w:hAnsiTheme="minorHAnsi" w:cstheme="minorBidi"/>
      <w:color w:val="auto"/>
      <w:kern w:val="0"/>
      <w:sz w:val="22"/>
      <w:szCs w:val="22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qFormat/>
  </w:style>
  <w:style w:type="paragraph" w:customStyle="1" w:styleId="Heading1">
    <w:name w:val="Heading 1"/>
    <w:basedOn w:val="Normal"/>
    <w:next w:val="Normal"/>
    <w:link w:val="Heading1Char"/>
    <w:uiPriority w:val="9"/>
    <w:qFormat/>
    <w:rsid w:val="00125DFA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qFormat/>
    <w:rsid w:val="00125DFA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125DFA"/>
    <w:rPr>
      <w:rFonts w:eastAsiaTheme="majorEastAsia" w:cstheme="majorBidi"/>
      <w:b/>
      <w:sz w:val="32"/>
      <w:szCs w:val="32"/>
    </w:rPr>
  </w:style>
  <w:style w:type="character" w:customStyle="1" w:styleId="ui-provider">
    <w:name w:val="ui-provider"/>
    <w:basedOn w:val="DefaultParagraphFont"/>
    <w:qFormat/>
    <w:rsid w:val="00D80C49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before="0"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customStyle="1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125DFA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table" w:customStyle="1" w:styleId="Style1">
    <w:name w:val="Style1"/>
    <w:basedOn w:val="TableNormal"/>
    <w:uiPriority w:val="99"/>
    <w:rsid w:val="00D50117"/>
    <w:pPr>
      <w:spacing w:line="240" w:lineRule="auto"/>
      <w:jc w:val="center"/>
    </w:pPr>
    <w:tblPr/>
    <w:tcPr>
      <w:vAlign w:val="center"/>
    </w:tcPr>
    <w:tblStylePr w:type="firstRow">
      <w:rPr>
        <w:b w:val="0"/>
      </w:r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</w:tcBorders>
      </w:tcPr>
    </w:tblStylePr>
    <w:tblStylePr w:type="firstCol">
      <w:pPr>
        <w:jc w:val="center"/>
      </w:pPr>
      <w:tblPr/>
      <w:tcPr>
        <w:tcBorders>
          <w:right w:val="single" w:sz="4" w:space="0" w:color="auto"/>
        </w:tcBorders>
      </w:tcPr>
    </w:tblStylePr>
  </w:style>
  <w:style w:type="table" w:customStyle="1" w:styleId="Style2">
    <w:name w:val="Style2"/>
    <w:basedOn w:val="TableNormal"/>
    <w:uiPriority w:val="99"/>
    <w:rsid w:val="006002B6"/>
    <w:pPr>
      <w:spacing w:line="240" w:lineRule="auto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image" Target="media/image8.svg" /><Relationship Id="rId12" Type="http://schemas.openxmlformats.org/officeDocument/2006/relationships/image" Target="media/image9.png" /><Relationship Id="rId13" Type="http://schemas.openxmlformats.org/officeDocument/2006/relationships/image" Target="media/image10.svg" /><Relationship Id="rId14" Type="http://schemas.openxmlformats.org/officeDocument/2006/relationships/image" Target="media/image11.png" /><Relationship Id="rId15" Type="http://schemas.openxmlformats.org/officeDocument/2006/relationships/image" Target="media/image12.svg" /><Relationship Id="rId16" Type="http://schemas.openxmlformats.org/officeDocument/2006/relationships/image" Target="media/image13.png" /><Relationship Id="rId17" Type="http://schemas.openxmlformats.org/officeDocument/2006/relationships/image" Target="media/image14.svg" /><Relationship Id="rId18" Type="http://schemas.openxmlformats.org/officeDocument/2006/relationships/image" Target="media/image15.png" /><Relationship Id="rId19" Type="http://schemas.openxmlformats.org/officeDocument/2006/relationships/image" Target="media/image16.svg" /><Relationship Id="rId2" Type="http://schemas.openxmlformats.org/officeDocument/2006/relationships/webSettings" Target="webSettings.xml" /><Relationship Id="rId20" Type="http://schemas.openxmlformats.org/officeDocument/2006/relationships/image" Target="media/image17.png" /><Relationship Id="rId21" Type="http://schemas.openxmlformats.org/officeDocument/2006/relationships/image" Target="media/image18.svg" /><Relationship Id="rId22" Type="http://schemas.openxmlformats.org/officeDocument/2006/relationships/image" Target="media/image19.png" /><Relationship Id="rId23" Type="http://schemas.openxmlformats.org/officeDocument/2006/relationships/image" Target="media/image20.svg" /><Relationship Id="rId24" Type="http://schemas.openxmlformats.org/officeDocument/2006/relationships/image" Target="media/image21.png" /><Relationship Id="rId25" Type="http://schemas.openxmlformats.org/officeDocument/2006/relationships/image" Target="media/image22.svg" /><Relationship Id="rId26" Type="http://schemas.openxmlformats.org/officeDocument/2006/relationships/image" Target="media/image23.png" /><Relationship Id="rId27" Type="http://schemas.openxmlformats.org/officeDocument/2006/relationships/image" Target="media/image24.svg" /><Relationship Id="rId28" Type="http://schemas.openxmlformats.org/officeDocument/2006/relationships/image" Target="media/image25.png" /><Relationship Id="rId29" Type="http://schemas.openxmlformats.org/officeDocument/2006/relationships/image" Target="media/image26.svg" /><Relationship Id="rId3" Type="http://schemas.openxmlformats.org/officeDocument/2006/relationships/fontTable" Target="fontTable.xml" /><Relationship Id="rId30" Type="http://schemas.openxmlformats.org/officeDocument/2006/relationships/image" Target="media/image27.png" /><Relationship Id="rId31" Type="http://schemas.openxmlformats.org/officeDocument/2006/relationships/image" Target="media/image28.svg" /><Relationship Id="rId32" Type="http://schemas.openxmlformats.org/officeDocument/2006/relationships/image" Target="media/image29.png" /><Relationship Id="rId33" Type="http://schemas.openxmlformats.org/officeDocument/2006/relationships/image" Target="media/image30.svg" /><Relationship Id="rId34" Type="http://schemas.openxmlformats.org/officeDocument/2006/relationships/image" Target="media/image31.png" /><Relationship Id="rId35" Type="http://schemas.openxmlformats.org/officeDocument/2006/relationships/image" Target="media/image32.svg" /><Relationship Id="rId36" Type="http://schemas.openxmlformats.org/officeDocument/2006/relationships/image" Target="media/image33.png" /><Relationship Id="rId37" Type="http://schemas.openxmlformats.org/officeDocument/2006/relationships/image" Target="media/image34.svg" /><Relationship Id="rId38" Type="http://schemas.openxmlformats.org/officeDocument/2006/relationships/theme" Target="theme/theme1.xml" /><Relationship Id="rId39" Type="http://schemas.openxmlformats.org/officeDocument/2006/relationships/styles" Target="styles.xml" /><Relationship Id="rId4" Type="http://schemas.openxmlformats.org/officeDocument/2006/relationships/image" Target="media/image1.png" /><Relationship Id="rId5" Type="http://schemas.openxmlformats.org/officeDocument/2006/relationships/image" Target="media/image2.svg" /><Relationship Id="rId6" Type="http://schemas.openxmlformats.org/officeDocument/2006/relationships/image" Target="media/image3.png" /><Relationship Id="rId7" Type="http://schemas.openxmlformats.org/officeDocument/2006/relationships/image" Target="media/image4.svg" /><Relationship Id="rId8" Type="http://schemas.openxmlformats.org/officeDocument/2006/relationships/image" Target="media/image5.png" /><Relationship Id="rId9" Type="http://schemas.openxmlformats.org/officeDocument/2006/relationships/image" Target="media/image6.sv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61</Words>
  <Characters>569</Characters>
  <Application>Microsoft Office Word</Application>
  <DocSecurity>0</DocSecurity>
  <Lines>0</Lines>
  <Paragraphs>33</Paragraphs>
  <ScaleCrop>false</ScaleCrop>
  <Company/>
  <LinksUpToDate>false</LinksUpToDate>
  <CharactersWithSpaces>669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Géraldine Cellière</dc:creator>
  <cp:revision>4</cp:revision>
  <dcterms:created xsi:type="dcterms:W3CDTF">2023-02-03T16:05:00Z</dcterms:created>
  <dcterms:modified xsi:type="dcterms:W3CDTF">2023-02-06T12:03:28Z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