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Melódia srdca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 tichá jesenná noc,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sedím a vnímam každý tón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piesne, čo má zvláštnu moc.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Láska, ktorou pieseň srší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nej už nikdy nevyprší.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Čarovne zapísaná v notách,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stačí ísť len v jej stopách.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Nájdeš lásku schovanú,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skrze slova prepletanú.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Avšak nie len slová majú moc,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tú má aj tma, čo nesie noc.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Veď každá múza chodí večer, v noci,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keď máš kľud a každý pocit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 ti zvnútra prediera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perom na list papiera.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Vyjadriť svoje pocity: zlosť,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žiaľ, lásku aj radosť.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Cez melódiu, ktorá povie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viac než všetky slová tvoje.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Keď sa všetko dokopy spojí,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noty, text a pocity,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niečo neuveriteľné sa stvorí,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pieseň, hudba, melódia Tvojho srdca...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