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E21" w:rsidRPr="00ED0E21" w:rsidRDefault="00ED0E21" w:rsidP="000564EA">
      <w:pPr>
        <w:spacing w:line="302" w:lineRule="auto"/>
        <w:rPr>
          <w:rFonts w:ascii="宋体" w:eastAsia="宋体" w:hAnsi="宋体"/>
        </w:rPr>
      </w:pPr>
      <w:r w:rsidRPr="00ED0E21">
        <w:rPr>
          <w:rFonts w:ascii="宋体" w:eastAsia="宋体" w:hAnsi="宋体" w:hint="eastAsia"/>
        </w:rPr>
        <w:t>1.pe/eps</w:t>
      </w:r>
    </w:p>
    <w:p w:rsidR="00ED0E21" w:rsidRDefault="00ED0E21" w:rsidP="000564EA">
      <w:pPr>
        <w:spacing w:line="302" w:lineRule="auto"/>
        <w:rPr>
          <w:rFonts w:ascii="宋体" w:eastAsia="宋体" w:hAnsi="宋体"/>
        </w:rPr>
      </w:pPr>
      <w:proofErr w:type="spellStart"/>
      <w:r>
        <w:rPr>
          <w:rFonts w:ascii="宋体" w:eastAsia="宋体" w:hAnsi="宋体"/>
        </w:rPr>
        <w:t>P</w:t>
      </w:r>
      <w:r>
        <w:rPr>
          <w:rFonts w:ascii="宋体" w:eastAsia="宋体" w:hAnsi="宋体" w:hint="eastAsia"/>
        </w:rPr>
        <w:t>e</w:t>
      </w:r>
      <w:proofErr w:type="spellEnd"/>
      <w:r>
        <w:rPr>
          <w:rFonts w:ascii="宋体" w:eastAsia="宋体" w:hAnsi="宋体" w:hint="eastAsia"/>
        </w:rPr>
        <w:t>(</w:t>
      </w:r>
      <w:r w:rsidRPr="00ED0E21">
        <w:rPr>
          <w:rFonts w:ascii="宋体" w:eastAsia="宋体" w:hAnsi="宋体"/>
        </w:rPr>
        <w:t>Price/Earnings</w:t>
      </w:r>
      <w:r>
        <w:rPr>
          <w:rFonts w:ascii="宋体" w:eastAsia="宋体" w:hAnsi="宋体"/>
        </w:rPr>
        <w:t xml:space="preserve">) </w:t>
      </w:r>
      <w:r>
        <w:rPr>
          <w:rFonts w:ascii="宋体" w:eastAsia="宋体" w:hAnsi="宋体" w:hint="eastAsia"/>
        </w:rPr>
        <w:t>就是股票每股的价钱除以每股的盈利</w:t>
      </w:r>
    </w:p>
    <w:p w:rsidR="00ED0E21" w:rsidRDefault="00ED0E21" w:rsidP="000564EA">
      <w:pPr>
        <w:spacing w:line="302" w:lineRule="auto"/>
        <w:rPr>
          <w:rFonts w:ascii="宋体" w:eastAsia="宋体" w:hAnsi="宋体"/>
        </w:rPr>
      </w:pPr>
      <w:r>
        <w:rPr>
          <w:rFonts w:ascii="宋体" w:eastAsia="宋体" w:hAnsi="宋体"/>
        </w:rPr>
        <w:t>E</w:t>
      </w:r>
      <w:r>
        <w:rPr>
          <w:rFonts w:ascii="宋体" w:eastAsia="宋体" w:hAnsi="宋体" w:hint="eastAsia"/>
        </w:rPr>
        <w:t>ps</w:t>
      </w:r>
      <w:r>
        <w:rPr>
          <w:rFonts w:ascii="宋体" w:eastAsia="宋体" w:hAnsi="宋体"/>
        </w:rPr>
        <w:t>(</w:t>
      </w:r>
      <w:r w:rsidRPr="00ED0E21">
        <w:rPr>
          <w:rFonts w:ascii="宋体" w:eastAsia="宋体" w:hAnsi="宋体"/>
        </w:rPr>
        <w:t>Earnings Per Share</w:t>
      </w:r>
      <w:r>
        <w:rPr>
          <w:rFonts w:ascii="宋体" w:eastAsia="宋体" w:hAnsi="宋体"/>
        </w:rPr>
        <w:t>)</w:t>
      </w:r>
      <w:r w:rsidR="000278D2">
        <w:rPr>
          <w:rFonts w:ascii="宋体" w:eastAsia="宋体" w:hAnsi="宋体"/>
        </w:rPr>
        <w:t xml:space="preserve"> </w:t>
      </w:r>
      <w:r w:rsidR="000278D2">
        <w:rPr>
          <w:rFonts w:ascii="宋体" w:eastAsia="宋体" w:hAnsi="宋体" w:hint="eastAsia"/>
        </w:rPr>
        <w:t>盈利总量除以流通在外所有股数，即一股赚多少钱</w:t>
      </w:r>
    </w:p>
    <w:p w:rsidR="00B76CDD" w:rsidRDefault="00B76CDD" w:rsidP="000564EA">
      <w:pPr>
        <w:spacing w:line="302" w:lineRule="auto"/>
        <w:rPr>
          <w:rFonts w:ascii="宋体" w:eastAsia="宋体" w:hAnsi="宋体"/>
        </w:rPr>
      </w:pPr>
    </w:p>
    <w:p w:rsidR="00B76CDD" w:rsidRDefault="00B76CDD" w:rsidP="000564EA">
      <w:pPr>
        <w:spacing w:line="302" w:lineRule="auto"/>
        <w:rPr>
          <w:rFonts w:ascii="宋体" w:eastAsia="宋体" w:hAnsi="宋体"/>
        </w:rPr>
      </w:pPr>
      <w:r>
        <w:rPr>
          <w:rFonts w:ascii="宋体" w:eastAsia="宋体" w:hAnsi="宋体"/>
        </w:rPr>
        <w:t>2</w:t>
      </w:r>
      <w:r w:rsidR="001778DA">
        <w:rPr>
          <w:rFonts w:ascii="宋体" w:eastAsia="宋体" w:hAnsi="宋体" w:hint="eastAsia"/>
        </w:rPr>
        <w:t>．参与者的功能/托管行功能</w:t>
      </w:r>
    </w:p>
    <w:p w:rsidR="00586168" w:rsidRDefault="00586168" w:rsidP="000564EA">
      <w:pPr>
        <w:spacing w:line="302" w:lineRule="auto"/>
        <w:rPr>
          <w:rFonts w:ascii="宋体" w:eastAsia="宋体" w:hAnsi="宋体"/>
        </w:rPr>
      </w:pPr>
    </w:p>
    <w:p w:rsidR="00586168" w:rsidRDefault="00586168" w:rsidP="000564EA">
      <w:pPr>
        <w:spacing w:line="302" w:lineRule="auto"/>
        <w:rPr>
          <w:rFonts w:ascii="宋体" w:eastAsia="宋体" w:hAnsi="宋体"/>
        </w:rPr>
      </w:pPr>
      <w:r>
        <w:rPr>
          <w:rFonts w:ascii="宋体" w:eastAsia="宋体" w:hAnsi="宋体" w:hint="eastAsia"/>
        </w:rPr>
        <w:t>托管行：</w:t>
      </w:r>
    </w:p>
    <w:p w:rsidR="00586168" w:rsidRPr="00586168" w:rsidRDefault="00586168" w:rsidP="000564EA">
      <w:pPr>
        <w:spacing w:line="302" w:lineRule="auto"/>
        <w:rPr>
          <w:rFonts w:ascii="宋体" w:eastAsia="宋体" w:hAnsi="宋体"/>
        </w:rPr>
      </w:pPr>
      <w:r w:rsidRPr="00586168">
        <w:rPr>
          <w:rFonts w:ascii="宋体" w:eastAsia="宋体" w:hAnsi="宋体" w:hint="eastAsia"/>
        </w:rPr>
        <w:t>（</w:t>
      </w:r>
      <w:r w:rsidRPr="00586168">
        <w:rPr>
          <w:rFonts w:ascii="宋体" w:eastAsia="宋体" w:hAnsi="宋体"/>
        </w:rPr>
        <w:t xml:space="preserve"> 1 ）安全保管基金资产；</w:t>
      </w:r>
    </w:p>
    <w:p w:rsidR="00586168" w:rsidRPr="00586168" w:rsidRDefault="00586168" w:rsidP="000564EA">
      <w:pPr>
        <w:spacing w:line="302" w:lineRule="auto"/>
        <w:rPr>
          <w:rFonts w:ascii="宋体" w:eastAsia="宋体" w:hAnsi="宋体"/>
        </w:rPr>
      </w:pPr>
      <w:r w:rsidRPr="00586168">
        <w:rPr>
          <w:rFonts w:ascii="宋体" w:eastAsia="宋体" w:hAnsi="宋体" w:hint="eastAsia"/>
        </w:rPr>
        <w:t>（</w:t>
      </w:r>
      <w:r w:rsidRPr="00586168">
        <w:rPr>
          <w:rFonts w:ascii="宋体" w:eastAsia="宋体" w:hAnsi="宋体"/>
        </w:rPr>
        <w:t xml:space="preserve"> 2 ）执行基金管理人的划款及清算指令；</w:t>
      </w:r>
    </w:p>
    <w:p w:rsidR="00586168" w:rsidRPr="00586168" w:rsidRDefault="00586168" w:rsidP="000564EA">
      <w:pPr>
        <w:spacing w:line="302" w:lineRule="auto"/>
        <w:rPr>
          <w:rFonts w:ascii="宋体" w:eastAsia="宋体" w:hAnsi="宋体"/>
        </w:rPr>
      </w:pPr>
      <w:r w:rsidRPr="00586168">
        <w:rPr>
          <w:rFonts w:ascii="宋体" w:eastAsia="宋体" w:hAnsi="宋体" w:hint="eastAsia"/>
        </w:rPr>
        <w:t>（</w:t>
      </w:r>
      <w:r w:rsidRPr="00586168">
        <w:rPr>
          <w:rFonts w:ascii="宋体" w:eastAsia="宋体" w:hAnsi="宋体"/>
        </w:rPr>
        <w:t xml:space="preserve"> 3 ）监督基金管理人的投资运作；</w:t>
      </w:r>
    </w:p>
    <w:p w:rsidR="00586168" w:rsidRDefault="00586168" w:rsidP="000564EA">
      <w:pPr>
        <w:spacing w:line="302" w:lineRule="auto"/>
        <w:rPr>
          <w:rFonts w:ascii="宋体" w:eastAsia="宋体" w:hAnsi="宋体"/>
        </w:rPr>
      </w:pPr>
      <w:r w:rsidRPr="00586168">
        <w:rPr>
          <w:rFonts w:ascii="宋体" w:eastAsia="宋体" w:hAnsi="宋体" w:hint="eastAsia"/>
        </w:rPr>
        <w:t>（</w:t>
      </w:r>
      <w:r w:rsidRPr="00586168">
        <w:rPr>
          <w:rFonts w:ascii="宋体" w:eastAsia="宋体" w:hAnsi="宋体"/>
        </w:rPr>
        <w:t xml:space="preserve"> 4 ）复核、审查基金管理人计算的基金资产净值及基金价格等。</w:t>
      </w:r>
    </w:p>
    <w:p w:rsidR="00586168" w:rsidRDefault="00586168" w:rsidP="000564EA">
      <w:pPr>
        <w:spacing w:line="302" w:lineRule="auto"/>
        <w:rPr>
          <w:rFonts w:ascii="宋体" w:eastAsia="宋体" w:hAnsi="宋体"/>
        </w:rPr>
      </w:pPr>
    </w:p>
    <w:p w:rsidR="00586168" w:rsidRDefault="00586168" w:rsidP="000564EA">
      <w:pPr>
        <w:spacing w:line="302" w:lineRule="auto"/>
        <w:rPr>
          <w:rFonts w:ascii="宋体" w:eastAsia="宋体" w:hAnsi="宋体"/>
        </w:rPr>
      </w:pPr>
      <w:r>
        <w:rPr>
          <w:rFonts w:ascii="宋体" w:eastAsia="宋体" w:hAnsi="宋体"/>
        </w:rPr>
        <w:t>3.</w:t>
      </w:r>
      <w:r>
        <w:rPr>
          <w:rFonts w:ascii="宋体" w:eastAsia="宋体" w:hAnsi="宋体" w:hint="eastAsia"/>
        </w:rPr>
        <w:t>资本市场，货币市场，外汇市场的特征</w:t>
      </w:r>
    </w:p>
    <w:p w:rsidR="00586168" w:rsidRDefault="00586168" w:rsidP="000564EA">
      <w:pPr>
        <w:spacing w:line="302" w:lineRule="auto"/>
        <w:rPr>
          <w:rFonts w:ascii="宋体" w:eastAsia="宋体" w:hAnsi="宋体"/>
        </w:rPr>
      </w:pPr>
    </w:p>
    <w:p w:rsidR="00586168" w:rsidRDefault="00586168" w:rsidP="000564EA">
      <w:pPr>
        <w:spacing w:line="302" w:lineRule="auto"/>
        <w:ind w:firstLine="420"/>
        <w:rPr>
          <w:rFonts w:ascii="宋体" w:eastAsia="宋体" w:hAnsi="宋体"/>
        </w:rPr>
      </w:pPr>
      <w:r w:rsidRPr="00586168">
        <w:rPr>
          <w:rFonts w:ascii="宋体" w:eastAsia="宋体" w:hAnsi="宋体" w:hint="eastAsia"/>
        </w:rPr>
        <w:t>资本市场通常是指由期限在</w:t>
      </w:r>
      <w:r w:rsidRPr="00586168">
        <w:rPr>
          <w:rFonts w:ascii="宋体" w:eastAsia="宋体" w:hAnsi="宋体"/>
        </w:rPr>
        <w:t>1年以上的各种融资活动组成的市场，由于在长期金融活动中，涉及资金期限长、风险大，具有长期较稳定收入，类似于资本投入，</w:t>
      </w:r>
      <w:r w:rsidRPr="00586168">
        <w:rPr>
          <w:rFonts w:ascii="宋体" w:eastAsia="宋体" w:hAnsi="宋体" w:hint="eastAsia"/>
        </w:rPr>
        <w:t>证券市场是股票、债券、基金等有价证券发行和交易的场所，是资本市场的主要部分和典型形态。资本市场上资本出让的合同期一般在一年以上，这是资本市场与短期的货币市场和衍生市场的区别。</w:t>
      </w:r>
    </w:p>
    <w:p w:rsidR="00586168" w:rsidRDefault="00586168" w:rsidP="000564EA">
      <w:pPr>
        <w:spacing w:line="302" w:lineRule="auto"/>
        <w:ind w:firstLine="420"/>
        <w:rPr>
          <w:rFonts w:ascii="Arial" w:hAnsi="Arial" w:cs="Arial"/>
          <w:b/>
          <w:bCs/>
          <w:color w:val="333333"/>
          <w:szCs w:val="21"/>
          <w:shd w:val="clear" w:color="auto" w:fill="FFFFFF"/>
        </w:rPr>
      </w:pPr>
      <w:r w:rsidRPr="00586168">
        <w:rPr>
          <w:rFonts w:ascii="宋体" w:eastAsia="宋体" w:hAnsi="宋体" w:hint="eastAsia"/>
        </w:rPr>
        <w:t>与货币市场相比，资本市场特点主要有：</w:t>
      </w:r>
      <w:r>
        <w:rPr>
          <w:rFonts w:ascii="Arial" w:hAnsi="Arial" w:cs="Arial"/>
          <w:b/>
          <w:bCs/>
          <w:color w:val="333333"/>
          <w:szCs w:val="21"/>
          <w:shd w:val="clear" w:color="auto" w:fill="FFFFFF"/>
        </w:rPr>
        <w:t>1.</w:t>
      </w:r>
      <w:r>
        <w:rPr>
          <w:rFonts w:ascii="Arial" w:hAnsi="Arial" w:cs="Arial"/>
          <w:b/>
          <w:bCs/>
          <w:color w:val="333333"/>
          <w:szCs w:val="21"/>
          <w:shd w:val="clear" w:color="auto" w:fill="FFFFFF"/>
        </w:rPr>
        <w:t>融资期限长</w:t>
      </w: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2.</w:t>
      </w:r>
      <w:r>
        <w:rPr>
          <w:rFonts w:ascii="Arial" w:hAnsi="Arial" w:cs="Arial"/>
          <w:b/>
          <w:bCs/>
          <w:color w:val="333333"/>
          <w:szCs w:val="21"/>
          <w:shd w:val="clear" w:color="auto" w:fill="FFFFFF"/>
        </w:rPr>
        <w:t>流动性相对较差</w:t>
      </w: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3.</w:t>
      </w:r>
      <w:r>
        <w:rPr>
          <w:rFonts w:ascii="Arial" w:hAnsi="Arial" w:cs="Arial"/>
          <w:b/>
          <w:bCs/>
          <w:color w:val="333333"/>
          <w:szCs w:val="21"/>
          <w:shd w:val="clear" w:color="auto" w:fill="FFFFFF"/>
        </w:rPr>
        <w:t>风险大而收益较高</w:t>
      </w: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4</w:t>
      </w:r>
      <w:r>
        <w:rPr>
          <w:rFonts w:ascii="Arial" w:hAnsi="Arial" w:cs="Arial"/>
          <w:b/>
          <w:bCs/>
          <w:color w:val="333333"/>
          <w:szCs w:val="21"/>
          <w:shd w:val="clear" w:color="auto" w:fill="FFFFFF"/>
        </w:rPr>
        <w:t>、资金借贷量大</w:t>
      </w: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5</w:t>
      </w:r>
      <w:r>
        <w:rPr>
          <w:rFonts w:ascii="Arial" w:hAnsi="Arial" w:cs="Arial"/>
          <w:b/>
          <w:bCs/>
          <w:color w:val="333333"/>
          <w:szCs w:val="21"/>
          <w:shd w:val="clear" w:color="auto" w:fill="FFFFFF"/>
        </w:rPr>
        <w:t>、价格变动幅度大</w:t>
      </w:r>
    </w:p>
    <w:p w:rsidR="00586168" w:rsidRDefault="00586168" w:rsidP="000564EA">
      <w:pPr>
        <w:spacing w:line="302" w:lineRule="auto"/>
        <w:ind w:firstLine="420"/>
        <w:rPr>
          <w:rFonts w:ascii="Arial" w:hAnsi="Arial" w:cs="Arial"/>
          <w:b/>
          <w:bCs/>
          <w:color w:val="333333"/>
          <w:szCs w:val="21"/>
          <w:shd w:val="clear" w:color="auto" w:fill="FFFFFF"/>
        </w:rPr>
      </w:pPr>
    </w:p>
    <w:p w:rsidR="00586168" w:rsidRDefault="00586168" w:rsidP="000564EA">
      <w:pPr>
        <w:spacing w:line="302" w:lineRule="auto"/>
        <w:ind w:firstLine="420"/>
        <w:rPr>
          <w:rFonts w:ascii="宋体" w:eastAsia="宋体" w:hAnsi="宋体"/>
        </w:rPr>
      </w:pPr>
      <w:r w:rsidRPr="00586168">
        <w:rPr>
          <w:rFonts w:ascii="宋体" w:eastAsia="宋体" w:hAnsi="宋体" w:hint="eastAsia"/>
        </w:rPr>
        <w:t>货币市场是指以期限在一年以内的金融资产交易的市场。该市场的主要功能是保持金融资产的流动性，以便随时转换成可以流通的货币。它的存在，一方面满足了借款者的短期资金需求，另一方面为暂时闲置的资金找到了出路。货币市场一般指国库券、商业票据、银行承兑汇票、可转让定期存单、回购协议等短期信用工具买卖的市场。具有期限短、流动性强和风险小的特点，在货币供应量层次划分上被置于现金货币和存款货币之后，称之为“准货币”，所以将该市场称为“货币市场”</w:t>
      </w:r>
      <w:r>
        <w:rPr>
          <w:rFonts w:ascii="宋体" w:eastAsia="宋体" w:hAnsi="宋体" w:hint="eastAsia"/>
        </w:rPr>
        <w:t>。</w:t>
      </w:r>
    </w:p>
    <w:p w:rsidR="00586168" w:rsidRDefault="00586168" w:rsidP="000564EA">
      <w:pPr>
        <w:spacing w:line="302" w:lineRule="auto"/>
        <w:ind w:firstLine="420"/>
        <w:rPr>
          <w:rFonts w:ascii="Arial" w:hAnsi="Arial" w:cs="Arial"/>
          <w:color w:val="333333"/>
          <w:szCs w:val="21"/>
          <w:shd w:val="clear" w:color="auto" w:fill="FFFFFF"/>
        </w:rPr>
      </w:pPr>
      <w:r>
        <w:rPr>
          <w:rFonts w:ascii="宋体" w:eastAsia="宋体" w:hAnsi="宋体" w:hint="eastAsia"/>
        </w:rPr>
        <w:t>特点：</w:t>
      </w:r>
      <w:r>
        <w:rPr>
          <w:rFonts w:ascii="Arial" w:hAnsi="Arial" w:cs="Arial"/>
          <w:color w:val="333333"/>
          <w:szCs w:val="21"/>
          <w:shd w:val="clear" w:color="auto" w:fill="FFFFFF"/>
        </w:rPr>
        <w:t>1.</w:t>
      </w:r>
      <w:r>
        <w:rPr>
          <w:rFonts w:ascii="Arial" w:hAnsi="Arial" w:cs="Arial"/>
          <w:color w:val="333333"/>
          <w:szCs w:val="21"/>
          <w:shd w:val="clear" w:color="auto" w:fill="FFFFFF"/>
        </w:rPr>
        <w:t>低风险、低收益</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2.</w:t>
      </w:r>
      <w:r>
        <w:rPr>
          <w:rFonts w:ascii="Arial" w:hAnsi="Arial" w:cs="Arial"/>
          <w:color w:val="333333"/>
          <w:szCs w:val="21"/>
          <w:shd w:val="clear" w:color="auto" w:fill="FFFFFF"/>
        </w:rPr>
        <w:t>期限短、流动性高</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3.</w:t>
      </w:r>
      <w:r>
        <w:rPr>
          <w:rFonts w:ascii="Arial" w:hAnsi="Arial" w:cs="Arial"/>
          <w:color w:val="333333"/>
          <w:szCs w:val="21"/>
          <w:shd w:val="clear" w:color="auto" w:fill="FFFFFF"/>
        </w:rPr>
        <w:t>交易量大</w:t>
      </w:r>
    </w:p>
    <w:p w:rsidR="00586168" w:rsidRDefault="00586168" w:rsidP="000564EA">
      <w:pPr>
        <w:spacing w:line="302" w:lineRule="auto"/>
        <w:ind w:firstLine="420"/>
        <w:rPr>
          <w:rFonts w:ascii="Arial" w:hAnsi="Arial" w:cs="Arial"/>
          <w:color w:val="333333"/>
          <w:szCs w:val="21"/>
          <w:shd w:val="clear" w:color="auto" w:fill="FFFFFF"/>
        </w:rPr>
      </w:pPr>
    </w:p>
    <w:p w:rsidR="00586168" w:rsidRDefault="00586168" w:rsidP="000564EA">
      <w:pPr>
        <w:spacing w:line="302" w:lineRule="auto"/>
        <w:ind w:firstLine="420"/>
        <w:rPr>
          <w:rFonts w:ascii="宋体" w:eastAsia="宋体" w:hAnsi="宋体"/>
        </w:rPr>
      </w:pPr>
      <w:r w:rsidRPr="00586168">
        <w:rPr>
          <w:rFonts w:ascii="宋体" w:eastAsia="宋体" w:hAnsi="宋体" w:hint="eastAsia"/>
        </w:rPr>
        <w:t>国际上因贸易、投资、旅游等经济往来，总不免产生货币收支关系。但各国货币制度不同，要想在国外支付，必须先以本国货币购买外币；另一方面，从国外收到外币支付凭证也必须兑换成本国货币才能在国内流通。这样就发生了本国货币与外国货币的兑换问题。两国货币的比价称汇价或汇率。西方国家和我国的中央银行为执行外汇政策，影响外汇汇率，经常买卖外汇的机构。所有买卖外汇的商业银行、专营外汇业务的银行、外汇经纪人、进出口商，</w:t>
      </w:r>
      <w:proofErr w:type="gramStart"/>
      <w:r w:rsidRPr="00586168">
        <w:rPr>
          <w:rFonts w:ascii="宋体" w:eastAsia="宋体" w:hAnsi="宋体" w:hint="eastAsia"/>
        </w:rPr>
        <w:t>以及其</w:t>
      </w:r>
      <w:proofErr w:type="gramEnd"/>
      <w:r w:rsidRPr="00586168">
        <w:rPr>
          <w:rFonts w:ascii="宋体" w:eastAsia="宋体" w:hAnsi="宋体" w:hint="eastAsia"/>
        </w:rPr>
        <w:t>外汇市场供求者都经营各种现汇交易及期汇交易。这一切外汇业务组成一国的外</w:t>
      </w:r>
      <w:r w:rsidRPr="00586168">
        <w:rPr>
          <w:rFonts w:ascii="宋体" w:eastAsia="宋体" w:hAnsi="宋体" w:hint="eastAsia"/>
        </w:rPr>
        <w:lastRenderedPageBreak/>
        <w:t>汇市场。</w:t>
      </w:r>
    </w:p>
    <w:p w:rsidR="00BC7844" w:rsidRDefault="00BC7844" w:rsidP="000564EA">
      <w:pPr>
        <w:spacing w:line="302" w:lineRule="auto"/>
        <w:ind w:firstLine="420"/>
        <w:rPr>
          <w:rFonts w:ascii="Arial" w:hAnsi="Arial" w:cs="Arial"/>
          <w:color w:val="333333"/>
          <w:szCs w:val="21"/>
          <w:shd w:val="clear" w:color="auto" w:fill="FFFFFF"/>
        </w:rPr>
      </w:pPr>
      <w:r>
        <w:rPr>
          <w:rFonts w:ascii="宋体" w:eastAsia="宋体" w:hAnsi="宋体" w:hint="eastAsia"/>
        </w:rPr>
        <w:t>特点：</w:t>
      </w:r>
      <w:r>
        <w:rPr>
          <w:rFonts w:ascii="Arial" w:hAnsi="Arial" w:cs="Arial"/>
          <w:b/>
          <w:bCs/>
          <w:color w:val="333333"/>
          <w:szCs w:val="21"/>
          <w:shd w:val="clear" w:color="auto" w:fill="FFFFFF"/>
        </w:rPr>
        <w:t>1</w:t>
      </w:r>
      <w:r>
        <w:rPr>
          <w:rFonts w:ascii="Arial" w:hAnsi="Arial" w:cs="Arial"/>
          <w:b/>
          <w:bCs/>
          <w:color w:val="333333"/>
          <w:szCs w:val="21"/>
          <w:shd w:val="clear" w:color="auto" w:fill="FFFFFF"/>
        </w:rPr>
        <w:t>、有市无场</w:t>
      </w:r>
      <w:r>
        <w:rPr>
          <w:rFonts w:ascii="Arial" w:hAnsi="Arial" w:cs="Arial" w:hint="eastAsia"/>
          <w:b/>
          <w:bCs/>
          <w:color w:val="333333"/>
          <w:szCs w:val="21"/>
          <w:shd w:val="clear" w:color="auto" w:fill="FFFFFF"/>
        </w:rPr>
        <w:t xml:space="preserve"> </w:t>
      </w:r>
      <w:r>
        <w:rPr>
          <w:rFonts w:ascii="Arial" w:hAnsi="Arial" w:cs="Arial"/>
          <w:color w:val="333333"/>
          <w:szCs w:val="21"/>
          <w:shd w:val="clear" w:color="auto" w:fill="FFFFFF"/>
        </w:rPr>
        <w:t>即集中买卖的中央操作和没有统一固定场所的行商网络</w:t>
      </w:r>
    </w:p>
    <w:p w:rsidR="00BC7844" w:rsidRDefault="00BC7844" w:rsidP="000564EA">
      <w:pPr>
        <w:spacing w:line="302"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ab/>
        <w:t xml:space="preserve">  </w:t>
      </w:r>
      <w:r>
        <w:rPr>
          <w:rFonts w:ascii="Arial" w:hAnsi="Arial" w:cs="Arial"/>
          <w:b/>
          <w:bCs/>
          <w:color w:val="333333"/>
          <w:szCs w:val="21"/>
          <w:shd w:val="clear" w:color="auto" w:fill="FFFFFF"/>
        </w:rPr>
        <w:t>2</w:t>
      </w:r>
      <w:r>
        <w:rPr>
          <w:rFonts w:ascii="Arial" w:hAnsi="Arial" w:cs="Arial"/>
          <w:b/>
          <w:bCs/>
          <w:color w:val="333333"/>
          <w:szCs w:val="21"/>
          <w:shd w:val="clear" w:color="auto" w:fill="FFFFFF"/>
        </w:rPr>
        <w:t>、</w:t>
      </w:r>
      <w:r>
        <w:rPr>
          <w:rStyle w:val="a4"/>
          <w:rFonts w:ascii="Arial" w:hAnsi="Arial" w:cs="Arial"/>
          <w:color w:val="191919"/>
          <w:bdr w:val="none" w:sz="0" w:space="0" w:color="auto" w:frame="1"/>
          <w:shd w:val="clear" w:color="auto" w:fill="FFFFFF"/>
        </w:rPr>
        <w:t>24</w:t>
      </w:r>
      <w:r>
        <w:rPr>
          <w:rStyle w:val="a4"/>
          <w:rFonts w:ascii="Arial" w:hAnsi="Arial" w:cs="Arial"/>
          <w:color w:val="191919"/>
          <w:bdr w:val="none" w:sz="0" w:space="0" w:color="auto" w:frame="1"/>
          <w:shd w:val="clear" w:color="auto" w:fill="FFFFFF"/>
        </w:rPr>
        <w:t>小时连续作业</w:t>
      </w:r>
      <w:r>
        <w:rPr>
          <w:rFonts w:ascii="Arial" w:hAnsi="Arial" w:cs="Arial" w:hint="eastAsia"/>
          <w:b/>
          <w:bCs/>
          <w:color w:val="333333"/>
          <w:szCs w:val="21"/>
          <w:shd w:val="clear" w:color="auto" w:fill="FFFFFF"/>
        </w:rPr>
        <w:t xml:space="preserve"> </w:t>
      </w:r>
      <w:r>
        <w:rPr>
          <w:rFonts w:ascii="Arial" w:hAnsi="Arial" w:cs="Arial"/>
          <w:color w:val="333333"/>
          <w:szCs w:val="21"/>
          <w:shd w:val="clear" w:color="auto" w:fill="FFFFFF"/>
        </w:rPr>
        <w:t>外汇市场可以说是一个没有时间和空间障碍的市场</w:t>
      </w:r>
    </w:p>
    <w:p w:rsidR="00BC7844" w:rsidRDefault="00BC7844" w:rsidP="000564EA">
      <w:pPr>
        <w:spacing w:line="302" w:lineRule="auto"/>
        <w:ind w:firstLine="420"/>
        <w:rPr>
          <w:rStyle w:val="a4"/>
          <w:rFonts w:ascii="Arial" w:hAnsi="Arial" w:cs="Arial"/>
          <w:color w:val="191919"/>
          <w:bdr w:val="none" w:sz="0" w:space="0" w:color="auto" w:frame="1"/>
          <w:shd w:val="clear" w:color="auto" w:fill="FFFFFF"/>
        </w:rPr>
      </w:pPr>
      <w:r>
        <w:rPr>
          <w:rFonts w:ascii="Arial" w:hAnsi="Arial" w:cs="Arial"/>
          <w:color w:val="333333"/>
          <w:szCs w:val="21"/>
          <w:shd w:val="clear" w:color="auto" w:fill="FFFFFF"/>
        </w:rPr>
        <w:tab/>
        <w:t xml:space="preserve">  </w:t>
      </w:r>
      <w:r>
        <w:rPr>
          <w:rStyle w:val="a4"/>
          <w:rFonts w:ascii="Arial" w:hAnsi="Arial" w:cs="Arial"/>
          <w:color w:val="191919"/>
          <w:bdr w:val="none" w:sz="0" w:space="0" w:color="auto" w:frame="1"/>
          <w:shd w:val="clear" w:color="auto" w:fill="FFFFFF"/>
        </w:rPr>
        <w:t>3</w:t>
      </w:r>
      <w:r>
        <w:rPr>
          <w:rStyle w:val="a4"/>
          <w:rFonts w:ascii="Arial" w:hAnsi="Arial" w:cs="Arial"/>
          <w:color w:val="191919"/>
          <w:bdr w:val="none" w:sz="0" w:space="0" w:color="auto" w:frame="1"/>
          <w:shd w:val="clear" w:color="auto" w:fill="FFFFFF"/>
        </w:rPr>
        <w:t>、双向交易</w:t>
      </w:r>
    </w:p>
    <w:p w:rsidR="00BC7844" w:rsidRDefault="00BC7844" w:rsidP="000564EA">
      <w:pPr>
        <w:spacing w:line="302" w:lineRule="auto"/>
        <w:ind w:firstLine="420"/>
        <w:rPr>
          <w:rFonts w:ascii="Arial" w:hAnsi="Arial" w:cs="Arial"/>
          <w:color w:val="191919"/>
          <w:shd w:val="clear" w:color="auto" w:fill="FFFFFF"/>
        </w:rPr>
      </w:pPr>
      <w:r>
        <w:rPr>
          <w:rStyle w:val="a4"/>
          <w:rFonts w:ascii="Arial" w:hAnsi="Arial" w:cs="Arial"/>
          <w:color w:val="191919"/>
          <w:bdr w:val="none" w:sz="0" w:space="0" w:color="auto" w:frame="1"/>
          <w:shd w:val="clear" w:color="auto" w:fill="FFFFFF"/>
        </w:rPr>
        <w:tab/>
        <w:t xml:space="preserve">  4</w:t>
      </w:r>
      <w:r>
        <w:rPr>
          <w:rStyle w:val="a4"/>
          <w:rFonts w:ascii="Arial" w:hAnsi="Arial" w:cs="Arial"/>
          <w:color w:val="191919"/>
          <w:bdr w:val="none" w:sz="0" w:space="0" w:color="auto" w:frame="1"/>
          <w:shd w:val="clear" w:color="auto" w:fill="FFFFFF"/>
        </w:rPr>
        <w:t>、保证金杠杆</w:t>
      </w:r>
      <w:r>
        <w:rPr>
          <w:rStyle w:val="a4"/>
          <w:rFonts w:ascii="Arial" w:hAnsi="Arial" w:cs="Arial" w:hint="eastAsia"/>
          <w:color w:val="191919"/>
          <w:bdr w:val="none" w:sz="0" w:space="0" w:color="auto" w:frame="1"/>
          <w:shd w:val="clear" w:color="auto" w:fill="FFFFFF"/>
        </w:rPr>
        <w:t xml:space="preserve"> </w:t>
      </w:r>
      <w:r>
        <w:rPr>
          <w:rFonts w:ascii="Arial" w:hAnsi="Arial" w:cs="Arial"/>
          <w:color w:val="191919"/>
          <w:shd w:val="clear" w:color="auto" w:fill="FFFFFF"/>
        </w:rPr>
        <w:t>除非有重要数据公布，正常情况下汇率的变化其实有限</w:t>
      </w:r>
    </w:p>
    <w:p w:rsidR="00BC7844" w:rsidRDefault="00BC7844" w:rsidP="000564EA">
      <w:pPr>
        <w:spacing w:line="302" w:lineRule="auto"/>
        <w:rPr>
          <w:rFonts w:ascii="Arial" w:hAnsi="Arial" w:cs="Arial"/>
          <w:color w:val="191919"/>
          <w:shd w:val="clear" w:color="auto" w:fill="FFFFFF"/>
        </w:rPr>
      </w:pPr>
    </w:p>
    <w:p w:rsidR="00BC7844" w:rsidRDefault="00BC7844" w:rsidP="000564EA">
      <w:pPr>
        <w:spacing w:line="302" w:lineRule="auto"/>
        <w:rPr>
          <w:rFonts w:ascii="宋体" w:eastAsia="宋体" w:hAnsi="宋体" w:cs="Arial"/>
          <w:color w:val="191919"/>
          <w:shd w:val="clear" w:color="auto" w:fill="FFFFFF"/>
        </w:rPr>
      </w:pPr>
      <w:r w:rsidRPr="00BC7844">
        <w:rPr>
          <w:rFonts w:ascii="宋体" w:eastAsia="宋体" w:hAnsi="宋体" w:cs="Arial" w:hint="eastAsia"/>
          <w:color w:val="191919"/>
          <w:shd w:val="clear" w:color="auto" w:fill="FFFFFF"/>
        </w:rPr>
        <w:t>4.原生产品 衍生品</w:t>
      </w:r>
    </w:p>
    <w:p w:rsidR="00BC7844" w:rsidRDefault="00BC7844" w:rsidP="000564EA">
      <w:pPr>
        <w:spacing w:line="302" w:lineRule="auto"/>
        <w:rPr>
          <w:rFonts w:ascii="宋体" w:eastAsia="宋体" w:hAnsi="宋体" w:cs="Arial"/>
          <w:color w:val="191919"/>
          <w:shd w:val="clear" w:color="auto" w:fill="FFFFFF"/>
        </w:rPr>
      </w:pPr>
      <w:r>
        <w:rPr>
          <w:rFonts w:ascii="宋体" w:eastAsia="宋体" w:hAnsi="宋体" w:cs="Arial" w:hint="eastAsia"/>
          <w:color w:val="191919"/>
          <w:shd w:val="clear" w:color="auto" w:fill="FFFFFF"/>
        </w:rPr>
        <w:t>原生产品：</w:t>
      </w:r>
    </w:p>
    <w:p w:rsidR="00BC7844" w:rsidRDefault="00BC7844" w:rsidP="000564EA">
      <w:pPr>
        <w:spacing w:line="302" w:lineRule="auto"/>
        <w:rPr>
          <w:rFonts w:ascii="宋体" w:eastAsia="宋体" w:hAnsi="宋体"/>
        </w:rPr>
      </w:pPr>
      <w:r>
        <w:rPr>
          <w:rFonts w:ascii="宋体" w:eastAsia="宋体" w:hAnsi="宋体"/>
        </w:rPr>
        <w:tab/>
      </w:r>
      <w:r w:rsidRPr="00BC7844">
        <w:rPr>
          <w:rFonts w:ascii="宋体" w:eastAsia="宋体" w:hAnsi="宋体" w:hint="eastAsia"/>
        </w:rPr>
        <w:t>是指货币、外汇、债务性金融商品和所有权性金融商品等金融资产，以及这些金融资产价格的总称。</w:t>
      </w:r>
    </w:p>
    <w:p w:rsidR="00BC7844" w:rsidRDefault="00BC7844" w:rsidP="000564EA">
      <w:pPr>
        <w:spacing w:line="302" w:lineRule="auto"/>
        <w:rPr>
          <w:rFonts w:ascii="宋体" w:eastAsia="宋体" w:hAnsi="宋体"/>
        </w:rPr>
      </w:pPr>
      <w:r>
        <w:rPr>
          <w:rFonts w:ascii="宋体" w:eastAsia="宋体" w:hAnsi="宋体" w:hint="eastAsia"/>
        </w:rPr>
        <w:t>衍生品：</w:t>
      </w:r>
    </w:p>
    <w:p w:rsidR="00BC7844" w:rsidRDefault="00BC7844" w:rsidP="000564EA">
      <w:pPr>
        <w:spacing w:line="302" w:lineRule="auto"/>
        <w:rPr>
          <w:rFonts w:ascii="宋体" w:eastAsia="宋体" w:hAnsi="宋体"/>
        </w:rPr>
      </w:pPr>
      <w:r>
        <w:rPr>
          <w:rFonts w:ascii="宋体" w:eastAsia="宋体" w:hAnsi="宋体"/>
        </w:rPr>
        <w:tab/>
      </w:r>
      <w:r w:rsidRPr="00BC7844">
        <w:rPr>
          <w:rFonts w:ascii="宋体" w:eastAsia="宋体" w:hAnsi="宋体" w:hint="eastAsia"/>
        </w:rPr>
        <w:t>衍生产品是一种金融工具，一般表现为两个主体之间的一个协议，其价格由其他基础产品的价格决定。并且有相应的现货资产作为标的物，成交时不需立即交割，而可在未来时点交割。典型的衍生品包括远期，期货、期权和互换等。</w:t>
      </w:r>
    </w:p>
    <w:p w:rsidR="00943525" w:rsidRDefault="00943525" w:rsidP="000564EA">
      <w:pPr>
        <w:spacing w:line="302" w:lineRule="auto"/>
        <w:rPr>
          <w:rFonts w:ascii="宋体" w:eastAsia="宋体" w:hAnsi="宋体"/>
        </w:rPr>
      </w:pPr>
    </w:p>
    <w:p w:rsidR="00943525" w:rsidRDefault="00943525" w:rsidP="000564EA">
      <w:pPr>
        <w:spacing w:line="302" w:lineRule="auto"/>
        <w:rPr>
          <w:rFonts w:ascii="宋体" w:eastAsia="宋体" w:hAnsi="宋体"/>
        </w:rPr>
      </w:pPr>
      <w:r>
        <w:rPr>
          <w:rFonts w:ascii="宋体" w:eastAsia="宋体" w:hAnsi="宋体"/>
        </w:rPr>
        <w:t>B</w:t>
      </w:r>
      <w:r>
        <w:rPr>
          <w:rFonts w:ascii="宋体" w:eastAsia="宋体" w:hAnsi="宋体" w:hint="eastAsia"/>
        </w:rPr>
        <w:t>roker（经纪人） dealer（</w:t>
      </w:r>
      <w:r w:rsidR="00312999">
        <w:rPr>
          <w:rFonts w:ascii="宋体" w:eastAsia="宋体" w:hAnsi="宋体" w:hint="eastAsia"/>
        </w:rPr>
        <w:t>经销</w:t>
      </w:r>
      <w:r>
        <w:rPr>
          <w:rFonts w:ascii="宋体" w:eastAsia="宋体" w:hAnsi="宋体" w:hint="eastAsia"/>
        </w:rPr>
        <w:t>商）</w:t>
      </w:r>
    </w:p>
    <w:p w:rsidR="00943525" w:rsidRDefault="00312999" w:rsidP="000564EA">
      <w:pPr>
        <w:spacing w:line="302" w:lineRule="auto"/>
        <w:ind w:firstLine="420"/>
        <w:rPr>
          <w:rFonts w:ascii="宋体" w:eastAsia="宋体" w:hAnsi="宋体"/>
        </w:rPr>
      </w:pPr>
      <w:r w:rsidRPr="00312999">
        <w:rPr>
          <w:rFonts w:ascii="宋体" w:eastAsia="宋体" w:hAnsi="宋体" w:hint="eastAsia"/>
        </w:rPr>
        <w:t>当代表客户执行交易订单时，据说该机构充当经纪人。当为自己的账户执行交易时，据说该机构充当交易商。</w:t>
      </w:r>
    </w:p>
    <w:p w:rsidR="00312999" w:rsidRDefault="00312999" w:rsidP="000564EA">
      <w:pPr>
        <w:spacing w:line="302" w:lineRule="auto"/>
        <w:ind w:firstLine="420"/>
        <w:rPr>
          <w:rFonts w:ascii="宋体" w:eastAsia="宋体" w:hAnsi="宋体"/>
        </w:rPr>
      </w:pPr>
    </w:p>
    <w:p w:rsidR="00312999" w:rsidRDefault="00312999" w:rsidP="000564EA">
      <w:pPr>
        <w:spacing w:line="302" w:lineRule="auto"/>
        <w:ind w:firstLine="420"/>
        <w:rPr>
          <w:rFonts w:ascii="宋体" w:eastAsia="宋体" w:hAnsi="宋体"/>
        </w:rPr>
      </w:pPr>
      <w:r w:rsidRPr="00312999">
        <w:rPr>
          <w:rFonts w:ascii="宋体" w:eastAsia="宋体" w:hAnsi="宋体" w:hint="eastAsia"/>
        </w:rPr>
        <w:t>交易所经纪人是</w:t>
      </w:r>
      <w:proofErr w:type="gramStart"/>
      <w:r w:rsidRPr="00312999">
        <w:rPr>
          <w:rFonts w:ascii="宋体" w:eastAsia="宋体" w:hAnsi="宋体" w:hint="eastAsia"/>
        </w:rPr>
        <w:t>证券交易所内代客</w:t>
      </w:r>
      <w:proofErr w:type="gramEnd"/>
      <w:r w:rsidRPr="00312999">
        <w:rPr>
          <w:rFonts w:ascii="宋体" w:eastAsia="宋体" w:hAnsi="宋体" w:hint="eastAsia"/>
        </w:rPr>
        <w:t>买卖证券以获取佣金为目的的人。</w:t>
      </w:r>
      <w:r w:rsidR="00E94228" w:rsidRPr="00E94228">
        <w:rPr>
          <w:rFonts w:ascii="宋体" w:eastAsia="宋体" w:hAnsi="宋体" w:hint="eastAsia"/>
        </w:rPr>
        <w:t>是帮别人买卖的代理人、中间人、经纪人（或实体），其代理人收入是靠以买卖产生的佣金为收入，而不具有买卖的财产所有权。</w:t>
      </w:r>
    </w:p>
    <w:p w:rsidR="00E94228" w:rsidRDefault="00E94228" w:rsidP="000564EA">
      <w:pPr>
        <w:spacing w:line="302" w:lineRule="auto"/>
        <w:ind w:firstLine="420"/>
        <w:rPr>
          <w:rFonts w:ascii="宋体" w:eastAsia="宋体" w:hAnsi="宋体"/>
        </w:rPr>
      </w:pPr>
      <w:r w:rsidRPr="00E94228">
        <w:rPr>
          <w:rFonts w:ascii="宋体" w:eastAsia="宋体" w:hAnsi="宋体"/>
        </w:rPr>
        <w:t>Dealer - 参与买卖的商人，交易员都可以称为Dealer, 它的特征是以自己身份（或自己代表的公司）做购买和销售，以赚取差价而获利，买卖过程中，他的财产所有权发生变化。</w:t>
      </w:r>
    </w:p>
    <w:p w:rsidR="00BC13A0" w:rsidRDefault="00BC13A0" w:rsidP="000564EA">
      <w:pPr>
        <w:spacing w:line="302" w:lineRule="auto"/>
        <w:rPr>
          <w:rFonts w:ascii="宋体" w:eastAsia="宋体" w:hAnsi="宋体"/>
        </w:rPr>
      </w:pPr>
    </w:p>
    <w:p w:rsidR="00BC13A0" w:rsidRDefault="00BC13A0" w:rsidP="000564EA">
      <w:pPr>
        <w:spacing w:line="302" w:lineRule="auto"/>
        <w:rPr>
          <w:rFonts w:ascii="宋体" w:eastAsia="宋体" w:hAnsi="宋体"/>
        </w:rPr>
      </w:pPr>
    </w:p>
    <w:p w:rsidR="00BC13A0" w:rsidRDefault="00BC13A0" w:rsidP="000564EA">
      <w:pPr>
        <w:spacing w:line="302" w:lineRule="auto"/>
        <w:rPr>
          <w:rFonts w:ascii="宋体" w:eastAsia="宋体" w:hAnsi="宋体"/>
        </w:rPr>
      </w:pPr>
      <w:r>
        <w:rPr>
          <w:rFonts w:ascii="宋体" w:eastAsia="宋体" w:hAnsi="宋体"/>
        </w:rPr>
        <w:t>O</w:t>
      </w:r>
      <w:r>
        <w:rPr>
          <w:rFonts w:ascii="宋体" w:eastAsia="宋体" w:hAnsi="宋体" w:hint="eastAsia"/>
        </w:rPr>
        <w:t>rder和价格</w:t>
      </w:r>
    </w:p>
    <w:p w:rsidR="00BC13A0" w:rsidRDefault="00BC13A0" w:rsidP="000564EA">
      <w:pPr>
        <w:spacing w:line="302" w:lineRule="auto"/>
        <w:rPr>
          <w:rFonts w:ascii="宋体" w:eastAsia="宋体" w:hAnsi="宋体"/>
        </w:rPr>
      </w:pPr>
    </w:p>
    <w:p w:rsidR="00BC13A0" w:rsidRDefault="00BC13A0" w:rsidP="000564EA">
      <w:pPr>
        <w:spacing w:line="302" w:lineRule="auto"/>
        <w:rPr>
          <w:rFonts w:ascii="宋体" w:eastAsia="宋体" w:hAnsi="宋体"/>
        </w:rPr>
      </w:pPr>
      <w:r>
        <w:rPr>
          <w:rFonts w:ascii="宋体" w:eastAsia="宋体" w:hAnsi="宋体" w:hint="eastAsia"/>
        </w:rPr>
        <w:t>债券价格和利率的关系：</w:t>
      </w:r>
    </w:p>
    <w:p w:rsidR="00BC13A0" w:rsidRPr="00BC13A0" w:rsidRDefault="00BC13A0" w:rsidP="000564EA">
      <w:pPr>
        <w:spacing w:line="302" w:lineRule="auto"/>
        <w:rPr>
          <w:rFonts w:ascii="宋体" w:eastAsia="宋体" w:hAnsi="宋体"/>
        </w:rPr>
      </w:pPr>
      <w:r w:rsidRPr="00BC13A0">
        <w:rPr>
          <w:rFonts w:ascii="宋体" w:eastAsia="宋体" w:hAnsi="宋体" w:hint="eastAsia"/>
        </w:rPr>
        <w:t>债券的票面利率越高，债券的价格越高，二者呈同向变化。</w:t>
      </w:r>
    </w:p>
    <w:p w:rsidR="00BC13A0" w:rsidRDefault="00BC13A0" w:rsidP="000564EA">
      <w:pPr>
        <w:spacing w:line="302" w:lineRule="auto"/>
        <w:rPr>
          <w:rFonts w:ascii="宋体" w:eastAsia="宋体" w:hAnsi="宋体"/>
        </w:rPr>
      </w:pPr>
      <w:r w:rsidRPr="00BC13A0">
        <w:rPr>
          <w:rFonts w:ascii="宋体" w:eastAsia="宋体" w:hAnsi="宋体" w:hint="eastAsia"/>
        </w:rPr>
        <w:t>市场收益率越高，债券的价格越低</w:t>
      </w:r>
      <w:r>
        <w:rPr>
          <w:rFonts w:ascii="宋体" w:eastAsia="宋体" w:hAnsi="宋体" w:hint="eastAsia"/>
        </w:rPr>
        <w:t>。</w:t>
      </w:r>
    </w:p>
    <w:p w:rsidR="00BC13A0" w:rsidRDefault="00BC13A0" w:rsidP="000564EA">
      <w:pPr>
        <w:spacing w:line="302" w:lineRule="auto"/>
        <w:rPr>
          <w:rFonts w:ascii="宋体" w:eastAsia="宋体" w:hAnsi="宋体"/>
        </w:rPr>
      </w:pPr>
    </w:p>
    <w:p w:rsidR="00BC13A0" w:rsidRDefault="00BC13A0" w:rsidP="000564EA">
      <w:pPr>
        <w:spacing w:line="302" w:lineRule="auto"/>
        <w:rPr>
          <w:rFonts w:ascii="宋体" w:eastAsia="宋体" w:hAnsi="宋体"/>
        </w:rPr>
      </w:pPr>
      <w:r>
        <w:rPr>
          <w:rFonts w:ascii="宋体" w:eastAsia="宋体" w:hAnsi="宋体" w:hint="eastAsia"/>
        </w:rPr>
        <w:t>股票的概念：</w:t>
      </w:r>
    </w:p>
    <w:p w:rsidR="00BC13A0" w:rsidRPr="00BC13A0" w:rsidRDefault="00BC13A0" w:rsidP="000564EA">
      <w:pPr>
        <w:spacing w:line="302" w:lineRule="auto"/>
        <w:rPr>
          <w:rFonts w:ascii="宋体" w:eastAsia="宋体" w:hAnsi="宋体"/>
        </w:rPr>
      </w:pPr>
      <w:r>
        <w:rPr>
          <w:rFonts w:ascii="宋体" w:eastAsia="宋体" w:hAnsi="宋体"/>
        </w:rPr>
        <w:tab/>
      </w:r>
      <w:r w:rsidRPr="00BC13A0">
        <w:rPr>
          <w:rFonts w:ascii="宋体" w:eastAsia="宋体" w:hAnsi="宋体" w:hint="eastAsia"/>
        </w:rPr>
        <w:t>股票是一种有价证券，是股份公司在筹集资本时向出资人发行的股份凭证，代表着其持有者（即股东）对股份公司的所有权，购买股票也是购买企业生意的一部分，即可和企业共</w:t>
      </w:r>
      <w:r w:rsidRPr="00BC13A0">
        <w:rPr>
          <w:rFonts w:ascii="宋体" w:eastAsia="宋体" w:hAnsi="宋体" w:hint="eastAsia"/>
        </w:rPr>
        <w:lastRenderedPageBreak/>
        <w:t>同成长发展。</w:t>
      </w:r>
    </w:p>
    <w:p w:rsidR="00BC13A0" w:rsidRPr="00BC13A0" w:rsidRDefault="00BC13A0" w:rsidP="000564EA">
      <w:pPr>
        <w:spacing w:line="302" w:lineRule="auto"/>
        <w:ind w:firstLine="420"/>
        <w:rPr>
          <w:rFonts w:ascii="宋体" w:eastAsia="宋体" w:hAnsi="宋体"/>
        </w:rPr>
      </w:pPr>
      <w:r w:rsidRPr="00BC13A0">
        <w:rPr>
          <w:rFonts w:ascii="宋体" w:eastAsia="宋体" w:hAnsi="宋体" w:hint="eastAsia"/>
        </w:rPr>
        <w:t>这种所有权为一种综合权利，如参加股东大会、投票表决、参与公司的重大决策、收取股息或分享红利差价等，但也要共同承担公司运作错误所带来的风险。获取经常性收入是投资者购买股票的重要原因之一，分红派息是股票投资者经常性收入的主要来源。</w:t>
      </w:r>
      <w:r>
        <w:rPr>
          <w:rFonts w:ascii="宋体" w:eastAsia="宋体" w:hAnsi="宋体"/>
        </w:rPr>
        <w:br/>
      </w:r>
    </w:p>
    <w:p w:rsidR="00BC13A0" w:rsidRPr="00BC13A0" w:rsidRDefault="00BC13A0" w:rsidP="000564EA">
      <w:pPr>
        <w:spacing w:line="302" w:lineRule="auto"/>
        <w:ind w:firstLine="420"/>
        <w:rPr>
          <w:rFonts w:ascii="宋体" w:eastAsia="宋体" w:hAnsi="宋体"/>
        </w:rPr>
      </w:pPr>
      <w:r w:rsidRPr="00BC13A0">
        <w:rPr>
          <w:rFonts w:ascii="宋体" w:eastAsia="宋体" w:hAnsi="宋体" w:hint="eastAsia"/>
        </w:rPr>
        <w:t>股票（</w:t>
      </w:r>
      <w:r w:rsidRPr="00BC13A0">
        <w:rPr>
          <w:rFonts w:ascii="宋体" w:eastAsia="宋体" w:hAnsi="宋体"/>
        </w:rPr>
        <w:t>stock）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rsidR="00BC13A0" w:rsidRPr="00BC13A0" w:rsidRDefault="00BC13A0" w:rsidP="000564EA">
      <w:pPr>
        <w:spacing w:line="302" w:lineRule="auto"/>
        <w:ind w:firstLine="420"/>
        <w:rPr>
          <w:rFonts w:ascii="宋体" w:eastAsia="宋体" w:hAnsi="宋体"/>
        </w:rPr>
      </w:pPr>
      <w:r w:rsidRPr="00BC13A0">
        <w:rPr>
          <w:rFonts w:ascii="宋体" w:eastAsia="宋体" w:hAnsi="宋体" w:hint="eastAsia"/>
        </w:rPr>
        <w:t>同一类别的每一份股票所代表的公司所有权是相等的。每个股东所拥有的公司所有权份额的大小，取决于其持有的股票数量占公司总股本的比重。</w:t>
      </w:r>
    </w:p>
    <w:p w:rsidR="00BC13A0" w:rsidRDefault="00BC13A0" w:rsidP="000564EA">
      <w:pPr>
        <w:spacing w:line="302" w:lineRule="auto"/>
        <w:ind w:firstLine="420"/>
        <w:rPr>
          <w:rFonts w:ascii="宋体" w:eastAsia="宋体" w:hAnsi="宋体"/>
        </w:rPr>
      </w:pPr>
      <w:r w:rsidRPr="00BC13A0">
        <w:rPr>
          <w:rFonts w:ascii="宋体" w:eastAsia="宋体" w:hAnsi="宋体" w:hint="eastAsia"/>
        </w:rPr>
        <w:t>股票是股份公司资本的构成部分，可以转让、买卖，是资本市场的主要长期信用工具，但不能要求公司返还其出资。</w:t>
      </w:r>
    </w:p>
    <w:p w:rsidR="00E416C6" w:rsidRDefault="00E416C6" w:rsidP="000564EA">
      <w:pPr>
        <w:spacing w:line="302" w:lineRule="auto"/>
        <w:rPr>
          <w:rFonts w:ascii="宋体" w:eastAsia="宋体" w:hAnsi="宋体"/>
        </w:rPr>
      </w:pPr>
    </w:p>
    <w:p w:rsidR="00E416C6" w:rsidRDefault="00E416C6" w:rsidP="000564EA">
      <w:pPr>
        <w:spacing w:line="302" w:lineRule="auto"/>
        <w:rPr>
          <w:rFonts w:ascii="宋体" w:eastAsia="宋体" w:hAnsi="宋体"/>
        </w:rPr>
      </w:pPr>
    </w:p>
    <w:p w:rsidR="00E416C6" w:rsidRDefault="00E416C6" w:rsidP="000564EA">
      <w:pPr>
        <w:spacing w:line="302" w:lineRule="auto"/>
        <w:rPr>
          <w:rFonts w:ascii="宋体" w:eastAsia="宋体" w:hAnsi="宋体"/>
        </w:rPr>
      </w:pPr>
      <w:r>
        <w:rPr>
          <w:rFonts w:ascii="宋体" w:eastAsia="宋体" w:hAnsi="宋体" w:hint="eastAsia"/>
        </w:rPr>
        <w:t>财务报表市盈率</w:t>
      </w:r>
    </w:p>
    <w:p w:rsidR="00E416C6" w:rsidRDefault="00E416C6" w:rsidP="000564EA">
      <w:pPr>
        <w:spacing w:line="302" w:lineRule="auto"/>
        <w:rPr>
          <w:rFonts w:ascii="宋体" w:eastAsia="宋体" w:hAnsi="宋体"/>
        </w:rPr>
      </w:pPr>
    </w:p>
    <w:p w:rsidR="00327A26" w:rsidRDefault="00327A26" w:rsidP="000564EA">
      <w:pPr>
        <w:spacing w:line="302" w:lineRule="auto"/>
        <w:rPr>
          <w:rFonts w:ascii="宋体" w:eastAsia="宋体" w:hAnsi="宋体"/>
        </w:rPr>
      </w:pPr>
    </w:p>
    <w:p w:rsidR="00327A26" w:rsidRDefault="00327A26" w:rsidP="000564EA">
      <w:pPr>
        <w:spacing w:line="302" w:lineRule="auto"/>
        <w:rPr>
          <w:rFonts w:ascii="宋体" w:eastAsia="宋体" w:hAnsi="宋体"/>
        </w:rPr>
      </w:pPr>
      <w:r>
        <w:rPr>
          <w:rFonts w:ascii="宋体" w:eastAsia="宋体" w:hAnsi="宋体" w:hint="eastAsia"/>
        </w:rPr>
        <w:t>衍生</w:t>
      </w:r>
      <w:proofErr w:type="gramStart"/>
      <w:r>
        <w:rPr>
          <w:rFonts w:ascii="宋体" w:eastAsia="宋体" w:hAnsi="宋体" w:hint="eastAsia"/>
        </w:rPr>
        <w:t>品投资</w:t>
      </w:r>
      <w:proofErr w:type="gramEnd"/>
      <w:r>
        <w:rPr>
          <w:rFonts w:ascii="宋体" w:eastAsia="宋体" w:hAnsi="宋体" w:hint="eastAsia"/>
        </w:rPr>
        <w:t>的目的/hedge（对冲）</w:t>
      </w:r>
    </w:p>
    <w:p w:rsidR="00327A26" w:rsidRDefault="00327A26" w:rsidP="000564EA">
      <w:pPr>
        <w:spacing w:line="302" w:lineRule="auto"/>
        <w:rPr>
          <w:rFonts w:ascii="宋体" w:eastAsia="宋体" w:hAnsi="宋体"/>
        </w:rPr>
      </w:pPr>
      <w:r>
        <w:rPr>
          <w:rFonts w:ascii="宋体" w:eastAsia="宋体" w:hAnsi="宋体" w:hint="eastAsia"/>
        </w:rPr>
        <w:t>对冲：</w:t>
      </w:r>
    </w:p>
    <w:p w:rsidR="00327A26" w:rsidRDefault="00327A26" w:rsidP="000564EA">
      <w:pPr>
        <w:spacing w:line="302" w:lineRule="auto"/>
        <w:rPr>
          <w:rFonts w:ascii="宋体" w:eastAsia="宋体" w:hAnsi="宋体"/>
        </w:rPr>
      </w:pPr>
    </w:p>
    <w:p w:rsidR="00302A47" w:rsidRDefault="00302A47" w:rsidP="000564EA">
      <w:pPr>
        <w:spacing w:line="302" w:lineRule="auto"/>
        <w:rPr>
          <w:rFonts w:ascii="宋体" w:eastAsia="宋体" w:hAnsi="宋体"/>
        </w:rPr>
      </w:pPr>
    </w:p>
    <w:p w:rsidR="00302A47" w:rsidRDefault="00302A47" w:rsidP="000564EA">
      <w:pPr>
        <w:spacing w:line="302" w:lineRule="auto"/>
        <w:rPr>
          <w:rFonts w:ascii="宋体" w:eastAsia="宋体" w:hAnsi="宋体"/>
        </w:rPr>
      </w:pPr>
    </w:p>
    <w:p w:rsidR="00302A47" w:rsidRDefault="00302A47" w:rsidP="000564EA">
      <w:pPr>
        <w:spacing w:line="302" w:lineRule="auto"/>
        <w:rPr>
          <w:rFonts w:ascii="宋体" w:eastAsia="宋体" w:hAnsi="宋体"/>
        </w:rPr>
      </w:pPr>
      <w:r>
        <w:rPr>
          <w:rFonts w:ascii="宋体" w:eastAsia="宋体" w:hAnsi="宋体" w:hint="eastAsia"/>
        </w:rPr>
        <w:t>权证和期权：</w:t>
      </w:r>
    </w:p>
    <w:p w:rsidR="00302A47" w:rsidRDefault="00302A47" w:rsidP="000564EA">
      <w:pPr>
        <w:spacing w:line="302" w:lineRule="auto"/>
        <w:ind w:firstLine="420"/>
        <w:rPr>
          <w:rFonts w:ascii="宋体" w:eastAsia="宋体" w:hAnsi="宋体"/>
        </w:rPr>
      </w:pPr>
      <w:r w:rsidRPr="00302A47">
        <w:rPr>
          <w:rFonts w:ascii="宋体" w:eastAsia="宋体" w:hAnsi="宋体" w:hint="eastAsia"/>
        </w:rPr>
        <w:t>权证（</w:t>
      </w:r>
      <w:r w:rsidRPr="00302A47">
        <w:rPr>
          <w:rFonts w:ascii="宋体" w:eastAsia="宋体" w:hAnsi="宋体"/>
        </w:rPr>
        <w:t>share warrant），是指基础证券发行人或其以外的第三人发行的，约定持有人在规定期间内或特定到期日，有权按约定价格向发行人购买或出售标的证券，或以现金结算方式收取结算差价的有价证券。</w:t>
      </w:r>
    </w:p>
    <w:p w:rsidR="0095006D" w:rsidRPr="0095006D" w:rsidRDefault="0095006D" w:rsidP="000564EA">
      <w:pPr>
        <w:spacing w:line="302" w:lineRule="auto"/>
        <w:ind w:firstLine="420"/>
        <w:rPr>
          <w:rFonts w:ascii="宋体" w:eastAsia="宋体" w:hAnsi="宋体"/>
        </w:rPr>
      </w:pPr>
      <w:r w:rsidRPr="0095006D">
        <w:rPr>
          <w:rFonts w:ascii="宋体" w:eastAsia="宋体" w:hAnsi="宋体" w:hint="eastAsia"/>
        </w:rPr>
        <w:t>期权是指一种合约，该合约赋予持有人在某一特定日期或该日之前的任何时间以固定价格购进或售出一种资产的权利。</w:t>
      </w:r>
      <w:r w:rsidRPr="0095006D">
        <w:rPr>
          <w:rFonts w:ascii="宋体" w:eastAsia="宋体" w:hAnsi="宋体"/>
        </w:rPr>
        <w:t xml:space="preserve"> 期权定义的要点如下:</w:t>
      </w:r>
    </w:p>
    <w:p w:rsidR="0095006D" w:rsidRPr="0095006D" w:rsidRDefault="0095006D" w:rsidP="000564EA">
      <w:pPr>
        <w:spacing w:line="302" w:lineRule="auto"/>
        <w:ind w:firstLine="420"/>
        <w:rPr>
          <w:rFonts w:ascii="宋体" w:eastAsia="宋体" w:hAnsi="宋体"/>
        </w:rPr>
      </w:pPr>
      <w:r w:rsidRPr="0095006D">
        <w:rPr>
          <w:rFonts w:ascii="宋体" w:eastAsia="宋体" w:hAnsi="宋体"/>
        </w:rPr>
        <w:t>1、期权是一种权利。 期权合约至少涉及买人和出售人两方。持有人享有权力但不承担相应的义务。</w:t>
      </w:r>
    </w:p>
    <w:p w:rsidR="0095006D" w:rsidRPr="0095006D" w:rsidRDefault="0095006D" w:rsidP="000564EA">
      <w:pPr>
        <w:spacing w:line="302" w:lineRule="auto"/>
        <w:ind w:firstLine="420"/>
        <w:rPr>
          <w:rFonts w:ascii="宋体" w:eastAsia="宋体" w:hAnsi="宋体"/>
        </w:rPr>
      </w:pPr>
      <w:r w:rsidRPr="0095006D">
        <w:rPr>
          <w:rFonts w:ascii="宋体" w:eastAsia="宋体" w:hAnsi="宋体"/>
        </w:rPr>
        <w:t>2、期权的标的物。期权的标的物是指选择购买或出售的资产。它包括股票、政府债券、货币、股票指数、商品期货等。期权是这些标的物“衍生”的，因此称衍生金融工具。值得注意的是，期权出售人不一定拥有标的资产。期权是可以“卖空”的。期权购买人也不定真的想购买资产标的物。因此，期权到期时双方不一定进行标的物的实物交割，而只需按价差补足价款即可。</w:t>
      </w:r>
    </w:p>
    <w:p w:rsidR="0095006D" w:rsidRPr="0095006D" w:rsidRDefault="0095006D" w:rsidP="000564EA">
      <w:pPr>
        <w:spacing w:line="302" w:lineRule="auto"/>
        <w:ind w:firstLine="420"/>
        <w:rPr>
          <w:rFonts w:ascii="宋体" w:eastAsia="宋体" w:hAnsi="宋体"/>
        </w:rPr>
      </w:pPr>
      <w:r w:rsidRPr="0095006D">
        <w:rPr>
          <w:rFonts w:ascii="宋体" w:eastAsia="宋体" w:hAnsi="宋体"/>
        </w:rPr>
        <w:lastRenderedPageBreak/>
        <w:t>3、到期日。双方约定的期权到期的那一天称为“到期日”，如果该期权只能在到期日执行，则称为欧式期权；如果该期权可以在到期日或到期日之前的任何时间执行，则称为美式期权。</w:t>
      </w:r>
    </w:p>
    <w:p w:rsidR="000564EA" w:rsidRDefault="0095006D" w:rsidP="000564EA">
      <w:pPr>
        <w:spacing w:line="302" w:lineRule="auto"/>
        <w:ind w:firstLine="420"/>
        <w:rPr>
          <w:rFonts w:ascii="宋体" w:eastAsia="宋体" w:hAnsi="宋体"/>
        </w:rPr>
      </w:pPr>
      <w:r w:rsidRPr="0095006D">
        <w:rPr>
          <w:rFonts w:ascii="宋体" w:eastAsia="宋体" w:hAnsi="宋体"/>
        </w:rPr>
        <w:t>4、期权的执行。依据期权合约购进或售出标的资产的行为称为“执行”。在期权合约中约定的、期权持有人据以购进或售出标的资产的固定价格，称为“执行价格”</w:t>
      </w:r>
    </w:p>
    <w:p w:rsidR="0095006D" w:rsidRDefault="0095006D" w:rsidP="000564EA">
      <w:pPr>
        <w:spacing w:line="302" w:lineRule="auto"/>
        <w:rPr>
          <w:rFonts w:ascii="宋体" w:eastAsia="宋体" w:hAnsi="宋体"/>
        </w:rPr>
      </w:pPr>
    </w:p>
    <w:p w:rsidR="000564EA" w:rsidRDefault="000564EA" w:rsidP="000564EA">
      <w:pPr>
        <w:spacing w:line="302" w:lineRule="auto"/>
        <w:rPr>
          <w:rFonts w:ascii="宋体" w:eastAsia="宋体" w:hAnsi="宋体"/>
        </w:rPr>
      </w:pPr>
    </w:p>
    <w:p w:rsidR="000564EA" w:rsidRDefault="000564EA" w:rsidP="000564EA">
      <w:pPr>
        <w:spacing w:line="302" w:lineRule="auto"/>
        <w:rPr>
          <w:rFonts w:ascii="宋体" w:eastAsia="宋体" w:hAnsi="宋体"/>
        </w:rPr>
      </w:pPr>
      <w:r>
        <w:rPr>
          <w:rFonts w:ascii="宋体" w:eastAsia="宋体" w:hAnsi="宋体" w:hint="eastAsia"/>
        </w:rPr>
        <w:t>保证金交易：信用交易</w:t>
      </w:r>
      <w:bookmarkStart w:id="0" w:name="_GoBack"/>
      <w:bookmarkEnd w:id="0"/>
    </w:p>
    <w:p w:rsidR="000564EA" w:rsidRDefault="000564EA" w:rsidP="000564EA">
      <w:pPr>
        <w:spacing w:line="302" w:lineRule="auto"/>
        <w:ind w:firstLine="420"/>
        <w:rPr>
          <w:rFonts w:ascii="宋体" w:eastAsia="宋体" w:hAnsi="宋体"/>
        </w:rPr>
      </w:pPr>
      <w:r w:rsidRPr="000564EA">
        <w:rPr>
          <w:rFonts w:ascii="宋体" w:eastAsia="宋体" w:hAnsi="宋体" w:hint="eastAsia"/>
        </w:rPr>
        <w:t>是指证券交易的当事人在买卖证券时，只向证券公司交付一定的保证金，或者只向证券公司交付一定的证券，而由证券公司提供融资或者融券进行交易。因此，信用交易具体分为融资买进和融券卖出两种。也就是说，客户在买卖证券时仅向证券公司支付一定数额的保证金或交付部分证券，其应当支付的价款和应交付的证券不足时，由证券公司进行垫付，而代理进行证券的买卖交易。其中，融资买入证券为</w:t>
      </w:r>
      <w:r w:rsidRPr="000564EA">
        <w:rPr>
          <w:rFonts w:ascii="宋体" w:eastAsia="宋体" w:hAnsi="宋体"/>
        </w:rPr>
        <w:t>"买空"，融券卖出证券为"卖空"。</w:t>
      </w:r>
    </w:p>
    <w:p w:rsidR="008869BD" w:rsidRDefault="008869BD" w:rsidP="008869BD">
      <w:pPr>
        <w:spacing w:line="302" w:lineRule="auto"/>
        <w:rPr>
          <w:rFonts w:ascii="宋体" w:eastAsia="宋体" w:hAnsi="宋体"/>
        </w:rPr>
      </w:pPr>
    </w:p>
    <w:p w:rsidR="008869BD" w:rsidRDefault="008869BD" w:rsidP="008869BD">
      <w:pPr>
        <w:spacing w:line="302" w:lineRule="auto"/>
        <w:rPr>
          <w:rFonts w:ascii="宋体" w:eastAsia="宋体" w:hAnsi="宋体"/>
        </w:rPr>
      </w:pPr>
    </w:p>
    <w:p w:rsidR="008869BD" w:rsidRDefault="008869BD" w:rsidP="008869BD">
      <w:pPr>
        <w:spacing w:line="302" w:lineRule="auto"/>
        <w:rPr>
          <w:rFonts w:ascii="宋体" w:eastAsia="宋体" w:hAnsi="宋体"/>
        </w:rPr>
      </w:pPr>
      <w:r>
        <w:rPr>
          <w:rFonts w:ascii="宋体" w:eastAsia="宋体" w:hAnsi="宋体" w:hint="eastAsia"/>
        </w:rPr>
        <w:t>基金行业结构，作用和功能：</w:t>
      </w:r>
    </w:p>
    <w:p w:rsidR="008869BD" w:rsidRDefault="008869BD" w:rsidP="008869BD">
      <w:pPr>
        <w:spacing w:line="302" w:lineRule="auto"/>
        <w:rPr>
          <w:rFonts w:ascii="宋体" w:eastAsia="宋体" w:hAnsi="宋体"/>
        </w:rPr>
      </w:pPr>
      <w:r>
        <w:rPr>
          <w:rFonts w:ascii="宋体" w:eastAsia="宋体" w:hAnsi="宋体" w:hint="eastAsia"/>
        </w:rPr>
        <w:t>基金的分类：封闭式和开放式基金</w:t>
      </w:r>
    </w:p>
    <w:p w:rsidR="00000000" w:rsidRDefault="007F2135" w:rsidP="008869BD">
      <w:pPr>
        <w:numPr>
          <w:ilvl w:val="1"/>
          <w:numId w:val="2"/>
        </w:numPr>
        <w:spacing w:line="302" w:lineRule="auto"/>
        <w:rPr>
          <w:rFonts w:ascii="宋体" w:eastAsia="宋体" w:hAnsi="宋体"/>
        </w:rPr>
      </w:pPr>
      <w:r w:rsidRPr="008869BD">
        <w:rPr>
          <w:rFonts w:ascii="宋体" w:eastAsia="宋体" w:hAnsi="宋体" w:hint="eastAsia"/>
        </w:rPr>
        <w:t>存续期限不同</w:t>
      </w:r>
      <w:r w:rsidRPr="008869BD">
        <w:rPr>
          <w:rFonts w:ascii="宋体" w:eastAsia="宋体" w:hAnsi="宋体" w:hint="eastAsia"/>
        </w:rPr>
        <w:t xml:space="preserve"> </w:t>
      </w:r>
      <w:r w:rsidR="008869BD">
        <w:rPr>
          <w:rFonts w:ascii="宋体" w:eastAsia="宋体" w:hAnsi="宋体" w:hint="eastAsia"/>
        </w:rPr>
        <w:t>：开放式没有固定期，可随时赎回，封闭式基金通常有固定的封闭期（10——15年）</w:t>
      </w:r>
    </w:p>
    <w:p w:rsidR="00000000" w:rsidRPr="008869BD" w:rsidRDefault="007F2135" w:rsidP="008869BD">
      <w:pPr>
        <w:numPr>
          <w:ilvl w:val="1"/>
          <w:numId w:val="2"/>
        </w:numPr>
        <w:spacing w:line="302" w:lineRule="auto"/>
        <w:rPr>
          <w:rFonts w:ascii="宋体" w:eastAsia="宋体" w:hAnsi="宋体"/>
        </w:rPr>
      </w:pPr>
      <w:r w:rsidRPr="008869BD">
        <w:rPr>
          <w:rFonts w:ascii="宋体" w:eastAsia="宋体" w:hAnsi="宋体" w:hint="eastAsia"/>
        </w:rPr>
        <w:t>规模可变性不同</w:t>
      </w:r>
      <w:r w:rsidR="008869BD">
        <w:rPr>
          <w:rFonts w:ascii="宋体" w:eastAsia="宋体" w:hAnsi="宋体" w:hint="eastAsia"/>
        </w:rPr>
        <w:t>：</w:t>
      </w:r>
      <w:r w:rsidR="008869BD" w:rsidRPr="008869BD">
        <w:rPr>
          <w:rFonts w:ascii="宋体" w:eastAsia="宋体" w:hAnsi="宋体" w:hint="eastAsia"/>
        </w:rPr>
        <w:t>开放式基金通常无发行规模限制，投资者可以随时提出认购或赎回申请，基金规模因此而增加或减少；而封闭式基金在招募说明书中列明其基金规模，发行后在存续期内总额固定，未经法定程序认可不</w:t>
      </w:r>
      <w:r w:rsidR="008869BD" w:rsidRPr="008869BD">
        <w:rPr>
          <w:rFonts w:ascii="宋体" w:eastAsia="宋体" w:hAnsi="宋体"/>
        </w:rPr>
        <w:t xml:space="preserve"> 能再增加发行。</w:t>
      </w:r>
    </w:p>
    <w:p w:rsidR="008869BD" w:rsidRPr="008869BD" w:rsidRDefault="007F2135" w:rsidP="008869BD">
      <w:pPr>
        <w:numPr>
          <w:ilvl w:val="1"/>
          <w:numId w:val="2"/>
        </w:numPr>
        <w:spacing w:line="302" w:lineRule="auto"/>
        <w:rPr>
          <w:rFonts w:ascii="宋体" w:eastAsia="宋体" w:hAnsi="宋体" w:hint="eastAsia"/>
        </w:rPr>
      </w:pPr>
      <w:r w:rsidRPr="008869BD">
        <w:rPr>
          <w:rFonts w:ascii="宋体" w:eastAsia="宋体" w:hAnsi="宋体" w:hint="eastAsia"/>
        </w:rPr>
        <w:t>交易方式不同</w:t>
      </w:r>
      <w:r w:rsidR="008869BD">
        <w:rPr>
          <w:rFonts w:ascii="宋体" w:eastAsia="宋体" w:hAnsi="宋体" w:hint="eastAsia"/>
        </w:rPr>
        <w:t>：</w:t>
      </w:r>
      <w:r w:rsidR="008869BD" w:rsidRPr="008869BD">
        <w:rPr>
          <w:rFonts w:ascii="宋体" w:eastAsia="宋体" w:hAnsi="宋体" w:hint="eastAsia"/>
        </w:rPr>
        <w:t>一般开放式基金，投资者可以通过基金管理公司或销售机构进行基金份额申购和赎回，不受时间限制。比如我们经常通过支付宝或第三方支付平台购买的基金，只要赚钱或需要资金，都可以进行基金份额赎回变现。</w:t>
      </w:r>
    </w:p>
    <w:p w:rsidR="00000000" w:rsidRPr="008869BD" w:rsidRDefault="008869BD" w:rsidP="008869BD">
      <w:pPr>
        <w:numPr>
          <w:ilvl w:val="1"/>
          <w:numId w:val="2"/>
        </w:numPr>
        <w:spacing w:line="302" w:lineRule="auto"/>
        <w:rPr>
          <w:rFonts w:ascii="宋体" w:eastAsia="宋体" w:hAnsi="宋体"/>
        </w:rPr>
      </w:pPr>
      <w:r w:rsidRPr="008869BD">
        <w:rPr>
          <w:rFonts w:ascii="宋体" w:eastAsia="宋体" w:hAnsi="宋体" w:hint="eastAsia"/>
        </w:rPr>
        <w:t>封闭式基金发起设立时，投资者可向基金管理公司或销售机构认购，但在存续期，投资者不能进行基金份额赎回，只能通过二级市场像股票竞价一样进行交易。</w:t>
      </w:r>
    </w:p>
    <w:p w:rsidR="00000000" w:rsidRPr="008869BD" w:rsidRDefault="007F2135" w:rsidP="008869BD">
      <w:pPr>
        <w:numPr>
          <w:ilvl w:val="1"/>
          <w:numId w:val="2"/>
        </w:numPr>
        <w:spacing w:line="302" w:lineRule="auto"/>
        <w:rPr>
          <w:rFonts w:ascii="宋体" w:eastAsia="宋体" w:hAnsi="宋体"/>
        </w:rPr>
      </w:pPr>
      <w:r w:rsidRPr="008869BD">
        <w:rPr>
          <w:rFonts w:ascii="宋体" w:eastAsia="宋体" w:hAnsi="宋体" w:hint="eastAsia"/>
        </w:rPr>
        <w:t>可赎回性不同</w:t>
      </w:r>
      <w:r w:rsidR="008869BD">
        <w:rPr>
          <w:rFonts w:ascii="宋体" w:eastAsia="宋体" w:hAnsi="宋体" w:hint="eastAsia"/>
        </w:rPr>
        <w:t>：</w:t>
      </w:r>
      <w:r w:rsidR="008869BD" w:rsidRPr="008869BD">
        <w:rPr>
          <w:rFonts w:ascii="宋体" w:eastAsia="宋体" w:hAnsi="宋体" w:hint="eastAsia"/>
        </w:rPr>
        <w:t>开放式基金具有法定的可赎回性。投资者可以在首次发行结束一段时间</w:t>
      </w:r>
      <w:r w:rsidR="008869BD" w:rsidRPr="008869BD">
        <w:rPr>
          <w:rFonts w:ascii="宋体" w:eastAsia="宋体" w:hAnsi="宋体"/>
        </w:rPr>
        <w:t xml:space="preserve"> 该期限最长不得超过3个月 后，随时提出赎回申请。而封闭式基金在封闭期间不能赎回</w:t>
      </w:r>
    </w:p>
    <w:p w:rsidR="00000000" w:rsidRPr="008869BD" w:rsidRDefault="007F2135" w:rsidP="008869BD">
      <w:pPr>
        <w:numPr>
          <w:ilvl w:val="1"/>
          <w:numId w:val="2"/>
        </w:numPr>
        <w:spacing w:line="302" w:lineRule="auto"/>
        <w:rPr>
          <w:rFonts w:ascii="宋体" w:eastAsia="宋体" w:hAnsi="宋体"/>
        </w:rPr>
      </w:pPr>
      <w:r w:rsidRPr="008869BD">
        <w:rPr>
          <w:rFonts w:ascii="宋体" w:eastAsia="宋体" w:hAnsi="宋体" w:hint="eastAsia"/>
        </w:rPr>
        <w:t>交易价格计算标准不同</w:t>
      </w:r>
      <w:r w:rsidR="008869BD">
        <w:rPr>
          <w:rFonts w:ascii="宋体" w:eastAsia="宋体" w:hAnsi="宋体" w:hint="eastAsia"/>
        </w:rPr>
        <w:t>：</w:t>
      </w:r>
      <w:r w:rsidR="008869BD" w:rsidRPr="008869BD">
        <w:rPr>
          <w:rFonts w:ascii="宋体" w:eastAsia="宋体" w:hAnsi="宋体" w:hint="eastAsia"/>
        </w:rPr>
        <w:t>封闭式基金的交易价格受市场供求关系影响，常出现溢价或折价交易现象</w:t>
      </w:r>
      <w:r w:rsidR="008869BD" w:rsidRPr="008869BD">
        <w:rPr>
          <w:rFonts w:ascii="宋体" w:eastAsia="宋体" w:hAnsi="宋体"/>
        </w:rPr>
        <w:t xml:space="preserve"> 通常为折价交易 ，并不必然反映基金的净资产值；</w:t>
      </w:r>
      <w:r w:rsidR="008869BD" w:rsidRPr="008869BD">
        <w:rPr>
          <w:rFonts w:ascii="宋体" w:eastAsia="宋体" w:hAnsi="宋体"/>
        </w:rPr>
        <w:lastRenderedPageBreak/>
        <w:t>而开放式基金的申购价一般是基金单位净资产值加一定的购买费，赎回价是基金</w:t>
      </w:r>
      <w:proofErr w:type="gramStart"/>
      <w:r w:rsidR="008869BD" w:rsidRPr="008869BD">
        <w:rPr>
          <w:rFonts w:ascii="宋体" w:eastAsia="宋体" w:hAnsi="宋体"/>
        </w:rPr>
        <w:t>净资产值减一定</w:t>
      </w:r>
      <w:proofErr w:type="gramEnd"/>
      <w:r w:rsidR="008869BD" w:rsidRPr="008869BD">
        <w:rPr>
          <w:rFonts w:ascii="宋体" w:eastAsia="宋体" w:hAnsi="宋体"/>
        </w:rPr>
        <w:t>的赎回费，与市场供求情况的相关性不大。</w:t>
      </w:r>
    </w:p>
    <w:p w:rsidR="008869BD" w:rsidRDefault="00DE55DF" w:rsidP="008869BD">
      <w:pPr>
        <w:spacing w:line="302" w:lineRule="auto"/>
        <w:rPr>
          <w:rFonts w:ascii="宋体" w:eastAsia="宋体" w:hAnsi="宋体"/>
        </w:rPr>
      </w:pPr>
      <w:r>
        <w:rPr>
          <w:rFonts w:ascii="宋体" w:eastAsia="宋体" w:hAnsi="宋体" w:hint="eastAsia"/>
        </w:rPr>
        <w:t>也可分为公司型基金和契约型基金，</w:t>
      </w:r>
      <w:proofErr w:type="gramStart"/>
      <w:r>
        <w:rPr>
          <w:rFonts w:ascii="宋体" w:eastAsia="宋体" w:hAnsi="宋体" w:hint="eastAsia"/>
        </w:rPr>
        <w:t>公募和私募</w:t>
      </w:r>
      <w:proofErr w:type="gramEnd"/>
      <w:r>
        <w:rPr>
          <w:rFonts w:ascii="宋体" w:eastAsia="宋体" w:hAnsi="宋体" w:hint="eastAsia"/>
        </w:rPr>
        <w:t>基金，在岸基金和离岸基金</w:t>
      </w:r>
    </w:p>
    <w:p w:rsidR="007E1D6B" w:rsidRDefault="007E1D6B" w:rsidP="008869BD">
      <w:pPr>
        <w:spacing w:line="302" w:lineRule="auto"/>
        <w:rPr>
          <w:rFonts w:ascii="宋体" w:eastAsia="宋体" w:hAnsi="宋体"/>
        </w:rPr>
      </w:pPr>
    </w:p>
    <w:p w:rsidR="007E1D6B" w:rsidRDefault="007E1D6B" w:rsidP="008869BD">
      <w:pPr>
        <w:spacing w:line="302" w:lineRule="auto"/>
        <w:rPr>
          <w:rFonts w:ascii="宋体" w:eastAsia="宋体" w:hAnsi="宋体"/>
        </w:rPr>
      </w:pPr>
      <w:r>
        <w:rPr>
          <w:rFonts w:ascii="宋体" w:eastAsia="宋体" w:hAnsi="宋体" w:hint="eastAsia"/>
        </w:rPr>
        <w:t>共同基金的结构：</w:t>
      </w:r>
    </w:p>
    <w:p w:rsidR="007E1D6B" w:rsidRDefault="007E1D6B" w:rsidP="008869BD">
      <w:pPr>
        <w:spacing w:line="302" w:lineRule="auto"/>
        <w:rPr>
          <w:rFonts w:ascii="宋体" w:eastAsia="宋体" w:hAnsi="宋体"/>
        </w:rPr>
      </w:pPr>
    </w:p>
    <w:p w:rsidR="00290E1F" w:rsidRDefault="00290E1F" w:rsidP="008869BD">
      <w:pPr>
        <w:spacing w:line="302" w:lineRule="auto"/>
        <w:rPr>
          <w:rFonts w:ascii="宋体" w:eastAsia="宋体" w:hAnsi="宋体"/>
        </w:rPr>
      </w:pPr>
      <w:r>
        <w:rPr>
          <w:rFonts w:ascii="宋体" w:eastAsia="宋体" w:hAnsi="宋体" w:hint="eastAsia"/>
        </w:rPr>
        <w:t>托管服务：</w:t>
      </w:r>
    </w:p>
    <w:p w:rsidR="00D21A4B" w:rsidRDefault="00D21A4B" w:rsidP="00DF203E">
      <w:pPr>
        <w:spacing w:line="302" w:lineRule="auto"/>
        <w:ind w:firstLine="420"/>
        <w:rPr>
          <w:rFonts w:ascii="宋体" w:eastAsia="宋体" w:hAnsi="宋体"/>
        </w:rPr>
      </w:pPr>
      <w:r w:rsidRPr="00D21A4B">
        <w:rPr>
          <w:rFonts w:ascii="宋体" w:eastAsia="宋体" w:hAnsi="宋体" w:hint="eastAsia"/>
        </w:rPr>
        <w:t>基金托管是指商业银行接受基金管理人的委托，代表基金持有人的利益，保管基金资产，监督基金管理人日常投资运作，基金托管人独立开设基金资产账户，依据管理人的指令进行清算和交割，保管基金资产，在有关制度和基金契约规定的范围内对基金业务运作进行监督，并收取一定的托管费。</w:t>
      </w:r>
    </w:p>
    <w:p w:rsidR="00D21A4B" w:rsidRDefault="00D21A4B" w:rsidP="008869BD">
      <w:pPr>
        <w:spacing w:line="302" w:lineRule="auto"/>
        <w:rPr>
          <w:rFonts w:ascii="宋体" w:eastAsia="宋体" w:hAnsi="宋体"/>
        </w:rPr>
      </w:pPr>
    </w:p>
    <w:p w:rsidR="00D21A4B" w:rsidRPr="0095006D" w:rsidRDefault="00586B9D" w:rsidP="008869BD">
      <w:pPr>
        <w:spacing w:line="302" w:lineRule="auto"/>
        <w:rPr>
          <w:rFonts w:ascii="宋体" w:eastAsia="宋体" w:hAnsi="宋体" w:hint="eastAsia"/>
        </w:rPr>
      </w:pPr>
      <w:r>
        <w:rPr>
          <w:rFonts w:ascii="宋体" w:eastAsia="宋体" w:hAnsi="宋体" w:hint="eastAsia"/>
        </w:rPr>
        <w:t>财务报表：</w:t>
      </w:r>
      <w:r w:rsidRPr="00586B9D">
        <w:rPr>
          <w:rFonts w:ascii="宋体" w:eastAsia="宋体" w:hAnsi="宋体" w:hint="eastAsia"/>
        </w:rPr>
        <w:t>三表：资产负债表、损益表、现金流量表</w:t>
      </w:r>
    </w:p>
    <w:sectPr w:rsidR="00D21A4B" w:rsidRPr="00950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A63B0"/>
    <w:multiLevelType w:val="hybridMultilevel"/>
    <w:tmpl w:val="577481F2"/>
    <w:lvl w:ilvl="0" w:tplc="9C7CC3BA">
      <w:start w:val="1"/>
      <w:numFmt w:val="bullet"/>
      <w:lvlText w:val="–"/>
      <w:lvlJc w:val="left"/>
      <w:pPr>
        <w:tabs>
          <w:tab w:val="num" w:pos="720"/>
        </w:tabs>
        <w:ind w:left="720" w:hanging="360"/>
      </w:pPr>
      <w:rPr>
        <w:rFonts w:ascii="Arial" w:hAnsi="Arial" w:hint="default"/>
      </w:rPr>
    </w:lvl>
    <w:lvl w:ilvl="1" w:tplc="404638A8">
      <w:start w:val="1"/>
      <w:numFmt w:val="bullet"/>
      <w:lvlText w:val="–"/>
      <w:lvlJc w:val="left"/>
      <w:pPr>
        <w:tabs>
          <w:tab w:val="num" w:pos="1440"/>
        </w:tabs>
        <w:ind w:left="1440" w:hanging="360"/>
      </w:pPr>
      <w:rPr>
        <w:rFonts w:ascii="Arial" w:hAnsi="Arial" w:hint="default"/>
      </w:rPr>
    </w:lvl>
    <w:lvl w:ilvl="2" w:tplc="EF7267BC" w:tentative="1">
      <w:start w:val="1"/>
      <w:numFmt w:val="bullet"/>
      <w:lvlText w:val="–"/>
      <w:lvlJc w:val="left"/>
      <w:pPr>
        <w:tabs>
          <w:tab w:val="num" w:pos="2160"/>
        </w:tabs>
        <w:ind w:left="2160" w:hanging="360"/>
      </w:pPr>
      <w:rPr>
        <w:rFonts w:ascii="Arial" w:hAnsi="Arial" w:hint="default"/>
      </w:rPr>
    </w:lvl>
    <w:lvl w:ilvl="3" w:tplc="165C3C4E" w:tentative="1">
      <w:start w:val="1"/>
      <w:numFmt w:val="bullet"/>
      <w:lvlText w:val="–"/>
      <w:lvlJc w:val="left"/>
      <w:pPr>
        <w:tabs>
          <w:tab w:val="num" w:pos="2880"/>
        </w:tabs>
        <w:ind w:left="2880" w:hanging="360"/>
      </w:pPr>
      <w:rPr>
        <w:rFonts w:ascii="Arial" w:hAnsi="Arial" w:hint="default"/>
      </w:rPr>
    </w:lvl>
    <w:lvl w:ilvl="4" w:tplc="09263B64" w:tentative="1">
      <w:start w:val="1"/>
      <w:numFmt w:val="bullet"/>
      <w:lvlText w:val="–"/>
      <w:lvlJc w:val="left"/>
      <w:pPr>
        <w:tabs>
          <w:tab w:val="num" w:pos="3600"/>
        </w:tabs>
        <w:ind w:left="3600" w:hanging="360"/>
      </w:pPr>
      <w:rPr>
        <w:rFonts w:ascii="Arial" w:hAnsi="Arial" w:hint="default"/>
      </w:rPr>
    </w:lvl>
    <w:lvl w:ilvl="5" w:tplc="FEA007AE" w:tentative="1">
      <w:start w:val="1"/>
      <w:numFmt w:val="bullet"/>
      <w:lvlText w:val="–"/>
      <w:lvlJc w:val="left"/>
      <w:pPr>
        <w:tabs>
          <w:tab w:val="num" w:pos="4320"/>
        </w:tabs>
        <w:ind w:left="4320" w:hanging="360"/>
      </w:pPr>
      <w:rPr>
        <w:rFonts w:ascii="Arial" w:hAnsi="Arial" w:hint="default"/>
      </w:rPr>
    </w:lvl>
    <w:lvl w:ilvl="6" w:tplc="F6442FBA" w:tentative="1">
      <w:start w:val="1"/>
      <w:numFmt w:val="bullet"/>
      <w:lvlText w:val="–"/>
      <w:lvlJc w:val="left"/>
      <w:pPr>
        <w:tabs>
          <w:tab w:val="num" w:pos="5040"/>
        </w:tabs>
        <w:ind w:left="5040" w:hanging="360"/>
      </w:pPr>
      <w:rPr>
        <w:rFonts w:ascii="Arial" w:hAnsi="Arial" w:hint="default"/>
      </w:rPr>
    </w:lvl>
    <w:lvl w:ilvl="7" w:tplc="77D6A81A" w:tentative="1">
      <w:start w:val="1"/>
      <w:numFmt w:val="bullet"/>
      <w:lvlText w:val="–"/>
      <w:lvlJc w:val="left"/>
      <w:pPr>
        <w:tabs>
          <w:tab w:val="num" w:pos="5760"/>
        </w:tabs>
        <w:ind w:left="5760" w:hanging="360"/>
      </w:pPr>
      <w:rPr>
        <w:rFonts w:ascii="Arial" w:hAnsi="Arial" w:hint="default"/>
      </w:rPr>
    </w:lvl>
    <w:lvl w:ilvl="8" w:tplc="5E2AFF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69D0"/>
    <w:multiLevelType w:val="hybridMultilevel"/>
    <w:tmpl w:val="303842EC"/>
    <w:lvl w:ilvl="0" w:tplc="C00E8340">
      <w:start w:val="1"/>
      <w:numFmt w:val="bullet"/>
      <w:lvlText w:val="–"/>
      <w:lvlJc w:val="left"/>
      <w:pPr>
        <w:tabs>
          <w:tab w:val="num" w:pos="720"/>
        </w:tabs>
        <w:ind w:left="720" w:hanging="360"/>
      </w:pPr>
      <w:rPr>
        <w:rFonts w:ascii="Arial" w:hAnsi="Arial" w:hint="default"/>
      </w:rPr>
    </w:lvl>
    <w:lvl w:ilvl="1" w:tplc="BECC29A4">
      <w:start w:val="1"/>
      <w:numFmt w:val="bullet"/>
      <w:lvlText w:val="–"/>
      <w:lvlJc w:val="left"/>
      <w:pPr>
        <w:tabs>
          <w:tab w:val="num" w:pos="1440"/>
        </w:tabs>
        <w:ind w:left="1440" w:hanging="360"/>
      </w:pPr>
      <w:rPr>
        <w:rFonts w:ascii="Arial" w:hAnsi="Arial" w:hint="default"/>
      </w:rPr>
    </w:lvl>
    <w:lvl w:ilvl="2" w:tplc="C83E98FA" w:tentative="1">
      <w:start w:val="1"/>
      <w:numFmt w:val="bullet"/>
      <w:lvlText w:val="–"/>
      <w:lvlJc w:val="left"/>
      <w:pPr>
        <w:tabs>
          <w:tab w:val="num" w:pos="2160"/>
        </w:tabs>
        <w:ind w:left="2160" w:hanging="360"/>
      </w:pPr>
      <w:rPr>
        <w:rFonts w:ascii="Arial" w:hAnsi="Arial" w:hint="default"/>
      </w:rPr>
    </w:lvl>
    <w:lvl w:ilvl="3" w:tplc="31ECA16E" w:tentative="1">
      <w:start w:val="1"/>
      <w:numFmt w:val="bullet"/>
      <w:lvlText w:val="–"/>
      <w:lvlJc w:val="left"/>
      <w:pPr>
        <w:tabs>
          <w:tab w:val="num" w:pos="2880"/>
        </w:tabs>
        <w:ind w:left="2880" w:hanging="360"/>
      </w:pPr>
      <w:rPr>
        <w:rFonts w:ascii="Arial" w:hAnsi="Arial" w:hint="default"/>
      </w:rPr>
    </w:lvl>
    <w:lvl w:ilvl="4" w:tplc="722EC400" w:tentative="1">
      <w:start w:val="1"/>
      <w:numFmt w:val="bullet"/>
      <w:lvlText w:val="–"/>
      <w:lvlJc w:val="left"/>
      <w:pPr>
        <w:tabs>
          <w:tab w:val="num" w:pos="3600"/>
        </w:tabs>
        <w:ind w:left="3600" w:hanging="360"/>
      </w:pPr>
      <w:rPr>
        <w:rFonts w:ascii="Arial" w:hAnsi="Arial" w:hint="default"/>
      </w:rPr>
    </w:lvl>
    <w:lvl w:ilvl="5" w:tplc="B9EE5FBC" w:tentative="1">
      <w:start w:val="1"/>
      <w:numFmt w:val="bullet"/>
      <w:lvlText w:val="–"/>
      <w:lvlJc w:val="left"/>
      <w:pPr>
        <w:tabs>
          <w:tab w:val="num" w:pos="4320"/>
        </w:tabs>
        <w:ind w:left="4320" w:hanging="360"/>
      </w:pPr>
      <w:rPr>
        <w:rFonts w:ascii="Arial" w:hAnsi="Arial" w:hint="default"/>
      </w:rPr>
    </w:lvl>
    <w:lvl w:ilvl="6" w:tplc="4CE66B06" w:tentative="1">
      <w:start w:val="1"/>
      <w:numFmt w:val="bullet"/>
      <w:lvlText w:val="–"/>
      <w:lvlJc w:val="left"/>
      <w:pPr>
        <w:tabs>
          <w:tab w:val="num" w:pos="5040"/>
        </w:tabs>
        <w:ind w:left="5040" w:hanging="360"/>
      </w:pPr>
      <w:rPr>
        <w:rFonts w:ascii="Arial" w:hAnsi="Arial" w:hint="default"/>
      </w:rPr>
    </w:lvl>
    <w:lvl w:ilvl="7" w:tplc="5B44D3FA" w:tentative="1">
      <w:start w:val="1"/>
      <w:numFmt w:val="bullet"/>
      <w:lvlText w:val="–"/>
      <w:lvlJc w:val="left"/>
      <w:pPr>
        <w:tabs>
          <w:tab w:val="num" w:pos="5760"/>
        </w:tabs>
        <w:ind w:left="5760" w:hanging="360"/>
      </w:pPr>
      <w:rPr>
        <w:rFonts w:ascii="Arial" w:hAnsi="Arial" w:hint="default"/>
      </w:rPr>
    </w:lvl>
    <w:lvl w:ilvl="8" w:tplc="A3C65F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691AC4"/>
    <w:multiLevelType w:val="hybridMultilevel"/>
    <w:tmpl w:val="FA0C58FE"/>
    <w:lvl w:ilvl="0" w:tplc="B444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2470A6"/>
    <w:multiLevelType w:val="hybridMultilevel"/>
    <w:tmpl w:val="D146F9C0"/>
    <w:lvl w:ilvl="0" w:tplc="E9005182">
      <w:start w:val="1"/>
      <w:numFmt w:val="bullet"/>
      <w:lvlText w:val="–"/>
      <w:lvlJc w:val="left"/>
      <w:pPr>
        <w:tabs>
          <w:tab w:val="num" w:pos="720"/>
        </w:tabs>
        <w:ind w:left="720" w:hanging="360"/>
      </w:pPr>
      <w:rPr>
        <w:rFonts w:ascii="Arial" w:hAnsi="Arial" w:hint="default"/>
      </w:rPr>
    </w:lvl>
    <w:lvl w:ilvl="1" w:tplc="6A7ED0B4">
      <w:start w:val="1"/>
      <w:numFmt w:val="bullet"/>
      <w:lvlText w:val="–"/>
      <w:lvlJc w:val="left"/>
      <w:pPr>
        <w:tabs>
          <w:tab w:val="num" w:pos="1440"/>
        </w:tabs>
        <w:ind w:left="1440" w:hanging="360"/>
      </w:pPr>
      <w:rPr>
        <w:rFonts w:ascii="Arial" w:hAnsi="Arial" w:hint="default"/>
      </w:rPr>
    </w:lvl>
    <w:lvl w:ilvl="2" w:tplc="17CC5A28" w:tentative="1">
      <w:start w:val="1"/>
      <w:numFmt w:val="bullet"/>
      <w:lvlText w:val="–"/>
      <w:lvlJc w:val="left"/>
      <w:pPr>
        <w:tabs>
          <w:tab w:val="num" w:pos="2160"/>
        </w:tabs>
        <w:ind w:left="2160" w:hanging="360"/>
      </w:pPr>
      <w:rPr>
        <w:rFonts w:ascii="Arial" w:hAnsi="Arial" w:hint="default"/>
      </w:rPr>
    </w:lvl>
    <w:lvl w:ilvl="3" w:tplc="1C7878AC" w:tentative="1">
      <w:start w:val="1"/>
      <w:numFmt w:val="bullet"/>
      <w:lvlText w:val="–"/>
      <w:lvlJc w:val="left"/>
      <w:pPr>
        <w:tabs>
          <w:tab w:val="num" w:pos="2880"/>
        </w:tabs>
        <w:ind w:left="2880" w:hanging="360"/>
      </w:pPr>
      <w:rPr>
        <w:rFonts w:ascii="Arial" w:hAnsi="Arial" w:hint="default"/>
      </w:rPr>
    </w:lvl>
    <w:lvl w:ilvl="4" w:tplc="EE828F22" w:tentative="1">
      <w:start w:val="1"/>
      <w:numFmt w:val="bullet"/>
      <w:lvlText w:val="–"/>
      <w:lvlJc w:val="left"/>
      <w:pPr>
        <w:tabs>
          <w:tab w:val="num" w:pos="3600"/>
        </w:tabs>
        <w:ind w:left="3600" w:hanging="360"/>
      </w:pPr>
      <w:rPr>
        <w:rFonts w:ascii="Arial" w:hAnsi="Arial" w:hint="default"/>
      </w:rPr>
    </w:lvl>
    <w:lvl w:ilvl="5" w:tplc="807A5FDE" w:tentative="1">
      <w:start w:val="1"/>
      <w:numFmt w:val="bullet"/>
      <w:lvlText w:val="–"/>
      <w:lvlJc w:val="left"/>
      <w:pPr>
        <w:tabs>
          <w:tab w:val="num" w:pos="4320"/>
        </w:tabs>
        <w:ind w:left="4320" w:hanging="360"/>
      </w:pPr>
      <w:rPr>
        <w:rFonts w:ascii="Arial" w:hAnsi="Arial" w:hint="default"/>
      </w:rPr>
    </w:lvl>
    <w:lvl w:ilvl="6" w:tplc="62BE9F88" w:tentative="1">
      <w:start w:val="1"/>
      <w:numFmt w:val="bullet"/>
      <w:lvlText w:val="–"/>
      <w:lvlJc w:val="left"/>
      <w:pPr>
        <w:tabs>
          <w:tab w:val="num" w:pos="5040"/>
        </w:tabs>
        <w:ind w:left="5040" w:hanging="360"/>
      </w:pPr>
      <w:rPr>
        <w:rFonts w:ascii="Arial" w:hAnsi="Arial" w:hint="default"/>
      </w:rPr>
    </w:lvl>
    <w:lvl w:ilvl="7" w:tplc="A580B8C2" w:tentative="1">
      <w:start w:val="1"/>
      <w:numFmt w:val="bullet"/>
      <w:lvlText w:val="–"/>
      <w:lvlJc w:val="left"/>
      <w:pPr>
        <w:tabs>
          <w:tab w:val="num" w:pos="5760"/>
        </w:tabs>
        <w:ind w:left="5760" w:hanging="360"/>
      </w:pPr>
      <w:rPr>
        <w:rFonts w:ascii="Arial" w:hAnsi="Arial" w:hint="default"/>
      </w:rPr>
    </w:lvl>
    <w:lvl w:ilvl="8" w:tplc="97BA4E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3D0010"/>
    <w:multiLevelType w:val="hybridMultilevel"/>
    <w:tmpl w:val="18F48EB8"/>
    <w:lvl w:ilvl="0" w:tplc="B4D00E7A">
      <w:start w:val="1"/>
      <w:numFmt w:val="bullet"/>
      <w:lvlText w:val="–"/>
      <w:lvlJc w:val="left"/>
      <w:pPr>
        <w:tabs>
          <w:tab w:val="num" w:pos="720"/>
        </w:tabs>
        <w:ind w:left="720" w:hanging="360"/>
      </w:pPr>
      <w:rPr>
        <w:rFonts w:ascii="Arial" w:hAnsi="Arial" w:hint="default"/>
      </w:rPr>
    </w:lvl>
    <w:lvl w:ilvl="1" w:tplc="BD004C50">
      <w:start w:val="1"/>
      <w:numFmt w:val="bullet"/>
      <w:lvlText w:val="–"/>
      <w:lvlJc w:val="left"/>
      <w:pPr>
        <w:tabs>
          <w:tab w:val="num" w:pos="1440"/>
        </w:tabs>
        <w:ind w:left="1440" w:hanging="360"/>
      </w:pPr>
      <w:rPr>
        <w:rFonts w:ascii="Arial" w:hAnsi="Arial" w:hint="default"/>
      </w:rPr>
    </w:lvl>
    <w:lvl w:ilvl="2" w:tplc="18EA4CFE" w:tentative="1">
      <w:start w:val="1"/>
      <w:numFmt w:val="bullet"/>
      <w:lvlText w:val="–"/>
      <w:lvlJc w:val="left"/>
      <w:pPr>
        <w:tabs>
          <w:tab w:val="num" w:pos="2160"/>
        </w:tabs>
        <w:ind w:left="2160" w:hanging="360"/>
      </w:pPr>
      <w:rPr>
        <w:rFonts w:ascii="Arial" w:hAnsi="Arial" w:hint="default"/>
      </w:rPr>
    </w:lvl>
    <w:lvl w:ilvl="3" w:tplc="22D218F2" w:tentative="1">
      <w:start w:val="1"/>
      <w:numFmt w:val="bullet"/>
      <w:lvlText w:val="–"/>
      <w:lvlJc w:val="left"/>
      <w:pPr>
        <w:tabs>
          <w:tab w:val="num" w:pos="2880"/>
        </w:tabs>
        <w:ind w:left="2880" w:hanging="360"/>
      </w:pPr>
      <w:rPr>
        <w:rFonts w:ascii="Arial" w:hAnsi="Arial" w:hint="default"/>
      </w:rPr>
    </w:lvl>
    <w:lvl w:ilvl="4" w:tplc="625A6AD2" w:tentative="1">
      <w:start w:val="1"/>
      <w:numFmt w:val="bullet"/>
      <w:lvlText w:val="–"/>
      <w:lvlJc w:val="left"/>
      <w:pPr>
        <w:tabs>
          <w:tab w:val="num" w:pos="3600"/>
        </w:tabs>
        <w:ind w:left="3600" w:hanging="360"/>
      </w:pPr>
      <w:rPr>
        <w:rFonts w:ascii="Arial" w:hAnsi="Arial" w:hint="default"/>
      </w:rPr>
    </w:lvl>
    <w:lvl w:ilvl="5" w:tplc="833284CE" w:tentative="1">
      <w:start w:val="1"/>
      <w:numFmt w:val="bullet"/>
      <w:lvlText w:val="–"/>
      <w:lvlJc w:val="left"/>
      <w:pPr>
        <w:tabs>
          <w:tab w:val="num" w:pos="4320"/>
        </w:tabs>
        <w:ind w:left="4320" w:hanging="360"/>
      </w:pPr>
      <w:rPr>
        <w:rFonts w:ascii="Arial" w:hAnsi="Arial" w:hint="default"/>
      </w:rPr>
    </w:lvl>
    <w:lvl w:ilvl="6" w:tplc="5ECAC600" w:tentative="1">
      <w:start w:val="1"/>
      <w:numFmt w:val="bullet"/>
      <w:lvlText w:val="–"/>
      <w:lvlJc w:val="left"/>
      <w:pPr>
        <w:tabs>
          <w:tab w:val="num" w:pos="5040"/>
        </w:tabs>
        <w:ind w:left="5040" w:hanging="360"/>
      </w:pPr>
      <w:rPr>
        <w:rFonts w:ascii="Arial" w:hAnsi="Arial" w:hint="default"/>
      </w:rPr>
    </w:lvl>
    <w:lvl w:ilvl="7" w:tplc="8074507E" w:tentative="1">
      <w:start w:val="1"/>
      <w:numFmt w:val="bullet"/>
      <w:lvlText w:val="–"/>
      <w:lvlJc w:val="left"/>
      <w:pPr>
        <w:tabs>
          <w:tab w:val="num" w:pos="5760"/>
        </w:tabs>
        <w:ind w:left="5760" w:hanging="360"/>
      </w:pPr>
      <w:rPr>
        <w:rFonts w:ascii="Arial" w:hAnsi="Arial" w:hint="default"/>
      </w:rPr>
    </w:lvl>
    <w:lvl w:ilvl="8" w:tplc="4CD626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891641"/>
    <w:multiLevelType w:val="hybridMultilevel"/>
    <w:tmpl w:val="DBEC6CE6"/>
    <w:lvl w:ilvl="0" w:tplc="18827C6A">
      <w:start w:val="1"/>
      <w:numFmt w:val="bullet"/>
      <w:lvlText w:val="–"/>
      <w:lvlJc w:val="left"/>
      <w:pPr>
        <w:tabs>
          <w:tab w:val="num" w:pos="720"/>
        </w:tabs>
        <w:ind w:left="720" w:hanging="360"/>
      </w:pPr>
      <w:rPr>
        <w:rFonts w:ascii="Arial" w:hAnsi="Arial" w:hint="default"/>
      </w:rPr>
    </w:lvl>
    <w:lvl w:ilvl="1" w:tplc="8F34529C">
      <w:start w:val="1"/>
      <w:numFmt w:val="bullet"/>
      <w:lvlText w:val="–"/>
      <w:lvlJc w:val="left"/>
      <w:pPr>
        <w:tabs>
          <w:tab w:val="num" w:pos="1440"/>
        </w:tabs>
        <w:ind w:left="1440" w:hanging="360"/>
      </w:pPr>
      <w:rPr>
        <w:rFonts w:ascii="Arial" w:hAnsi="Arial" w:hint="default"/>
      </w:rPr>
    </w:lvl>
    <w:lvl w:ilvl="2" w:tplc="9AA2C7B4" w:tentative="1">
      <w:start w:val="1"/>
      <w:numFmt w:val="bullet"/>
      <w:lvlText w:val="–"/>
      <w:lvlJc w:val="left"/>
      <w:pPr>
        <w:tabs>
          <w:tab w:val="num" w:pos="2160"/>
        </w:tabs>
        <w:ind w:left="2160" w:hanging="360"/>
      </w:pPr>
      <w:rPr>
        <w:rFonts w:ascii="Arial" w:hAnsi="Arial" w:hint="default"/>
      </w:rPr>
    </w:lvl>
    <w:lvl w:ilvl="3" w:tplc="E58230DC" w:tentative="1">
      <w:start w:val="1"/>
      <w:numFmt w:val="bullet"/>
      <w:lvlText w:val="–"/>
      <w:lvlJc w:val="left"/>
      <w:pPr>
        <w:tabs>
          <w:tab w:val="num" w:pos="2880"/>
        </w:tabs>
        <w:ind w:left="2880" w:hanging="360"/>
      </w:pPr>
      <w:rPr>
        <w:rFonts w:ascii="Arial" w:hAnsi="Arial" w:hint="default"/>
      </w:rPr>
    </w:lvl>
    <w:lvl w:ilvl="4" w:tplc="BDA85E50" w:tentative="1">
      <w:start w:val="1"/>
      <w:numFmt w:val="bullet"/>
      <w:lvlText w:val="–"/>
      <w:lvlJc w:val="left"/>
      <w:pPr>
        <w:tabs>
          <w:tab w:val="num" w:pos="3600"/>
        </w:tabs>
        <w:ind w:left="3600" w:hanging="360"/>
      </w:pPr>
      <w:rPr>
        <w:rFonts w:ascii="Arial" w:hAnsi="Arial" w:hint="default"/>
      </w:rPr>
    </w:lvl>
    <w:lvl w:ilvl="5" w:tplc="B5EA7404" w:tentative="1">
      <w:start w:val="1"/>
      <w:numFmt w:val="bullet"/>
      <w:lvlText w:val="–"/>
      <w:lvlJc w:val="left"/>
      <w:pPr>
        <w:tabs>
          <w:tab w:val="num" w:pos="4320"/>
        </w:tabs>
        <w:ind w:left="4320" w:hanging="360"/>
      </w:pPr>
      <w:rPr>
        <w:rFonts w:ascii="Arial" w:hAnsi="Arial" w:hint="default"/>
      </w:rPr>
    </w:lvl>
    <w:lvl w:ilvl="6" w:tplc="3A0EAA6A" w:tentative="1">
      <w:start w:val="1"/>
      <w:numFmt w:val="bullet"/>
      <w:lvlText w:val="–"/>
      <w:lvlJc w:val="left"/>
      <w:pPr>
        <w:tabs>
          <w:tab w:val="num" w:pos="5040"/>
        </w:tabs>
        <w:ind w:left="5040" w:hanging="360"/>
      </w:pPr>
      <w:rPr>
        <w:rFonts w:ascii="Arial" w:hAnsi="Arial" w:hint="default"/>
      </w:rPr>
    </w:lvl>
    <w:lvl w:ilvl="7" w:tplc="2DC0AA44" w:tentative="1">
      <w:start w:val="1"/>
      <w:numFmt w:val="bullet"/>
      <w:lvlText w:val="–"/>
      <w:lvlJc w:val="left"/>
      <w:pPr>
        <w:tabs>
          <w:tab w:val="num" w:pos="5760"/>
        </w:tabs>
        <w:ind w:left="5760" w:hanging="360"/>
      </w:pPr>
      <w:rPr>
        <w:rFonts w:ascii="Arial" w:hAnsi="Arial" w:hint="default"/>
      </w:rPr>
    </w:lvl>
    <w:lvl w:ilvl="8" w:tplc="6DCA44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F9"/>
    <w:rsid w:val="000278D2"/>
    <w:rsid w:val="000564EA"/>
    <w:rsid w:val="001778DA"/>
    <w:rsid w:val="00256BEF"/>
    <w:rsid w:val="00290E1F"/>
    <w:rsid w:val="00302A47"/>
    <w:rsid w:val="00312999"/>
    <w:rsid w:val="00327A26"/>
    <w:rsid w:val="004A28AF"/>
    <w:rsid w:val="00586168"/>
    <w:rsid w:val="00586B9D"/>
    <w:rsid w:val="005A2648"/>
    <w:rsid w:val="007755F9"/>
    <w:rsid w:val="007E1D6B"/>
    <w:rsid w:val="007F2135"/>
    <w:rsid w:val="007F709A"/>
    <w:rsid w:val="008869BD"/>
    <w:rsid w:val="00943525"/>
    <w:rsid w:val="0095006D"/>
    <w:rsid w:val="00AA49A4"/>
    <w:rsid w:val="00B76CDD"/>
    <w:rsid w:val="00BC13A0"/>
    <w:rsid w:val="00BC7844"/>
    <w:rsid w:val="00D21A4B"/>
    <w:rsid w:val="00DE55DF"/>
    <w:rsid w:val="00DF203E"/>
    <w:rsid w:val="00E416C6"/>
    <w:rsid w:val="00E94228"/>
    <w:rsid w:val="00ED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9E82"/>
  <w15:chartTrackingRefBased/>
  <w15:docId w15:val="{5B89EA01-E4BC-4009-AC53-476A95D4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E21"/>
    <w:pPr>
      <w:ind w:firstLineChars="200" w:firstLine="420"/>
    </w:pPr>
  </w:style>
  <w:style w:type="character" w:styleId="a4">
    <w:name w:val="Strong"/>
    <w:basedOn w:val="a0"/>
    <w:uiPriority w:val="22"/>
    <w:qFormat/>
    <w:rsid w:val="00BC7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4072">
      <w:bodyDiv w:val="1"/>
      <w:marLeft w:val="0"/>
      <w:marRight w:val="0"/>
      <w:marTop w:val="0"/>
      <w:marBottom w:val="0"/>
      <w:divBdr>
        <w:top w:val="none" w:sz="0" w:space="0" w:color="auto"/>
        <w:left w:val="none" w:sz="0" w:space="0" w:color="auto"/>
        <w:bottom w:val="none" w:sz="0" w:space="0" w:color="auto"/>
        <w:right w:val="none" w:sz="0" w:space="0" w:color="auto"/>
      </w:divBdr>
      <w:divsChild>
        <w:div w:id="700786493">
          <w:marLeft w:val="0"/>
          <w:marRight w:val="0"/>
          <w:marTop w:val="0"/>
          <w:marBottom w:val="225"/>
          <w:divBdr>
            <w:top w:val="none" w:sz="0" w:space="0" w:color="auto"/>
            <w:left w:val="none" w:sz="0" w:space="0" w:color="auto"/>
            <w:bottom w:val="none" w:sz="0" w:space="0" w:color="auto"/>
            <w:right w:val="none" w:sz="0" w:space="0" w:color="auto"/>
          </w:divBdr>
        </w:div>
        <w:div w:id="1622220559">
          <w:marLeft w:val="0"/>
          <w:marRight w:val="0"/>
          <w:marTop w:val="0"/>
          <w:marBottom w:val="225"/>
          <w:divBdr>
            <w:top w:val="none" w:sz="0" w:space="0" w:color="auto"/>
            <w:left w:val="none" w:sz="0" w:space="0" w:color="auto"/>
            <w:bottom w:val="none" w:sz="0" w:space="0" w:color="auto"/>
            <w:right w:val="none" w:sz="0" w:space="0" w:color="auto"/>
          </w:divBdr>
        </w:div>
        <w:div w:id="512259462">
          <w:marLeft w:val="0"/>
          <w:marRight w:val="0"/>
          <w:marTop w:val="0"/>
          <w:marBottom w:val="225"/>
          <w:divBdr>
            <w:top w:val="none" w:sz="0" w:space="0" w:color="auto"/>
            <w:left w:val="none" w:sz="0" w:space="0" w:color="auto"/>
            <w:bottom w:val="none" w:sz="0" w:space="0" w:color="auto"/>
            <w:right w:val="none" w:sz="0" w:space="0" w:color="auto"/>
          </w:divBdr>
        </w:div>
        <w:div w:id="1037780997">
          <w:marLeft w:val="0"/>
          <w:marRight w:val="0"/>
          <w:marTop w:val="0"/>
          <w:marBottom w:val="225"/>
          <w:divBdr>
            <w:top w:val="none" w:sz="0" w:space="0" w:color="auto"/>
            <w:left w:val="none" w:sz="0" w:space="0" w:color="auto"/>
            <w:bottom w:val="none" w:sz="0" w:space="0" w:color="auto"/>
            <w:right w:val="none" w:sz="0" w:space="0" w:color="auto"/>
          </w:divBdr>
        </w:div>
      </w:divsChild>
    </w:div>
    <w:div w:id="347105164">
      <w:bodyDiv w:val="1"/>
      <w:marLeft w:val="0"/>
      <w:marRight w:val="0"/>
      <w:marTop w:val="0"/>
      <w:marBottom w:val="0"/>
      <w:divBdr>
        <w:top w:val="none" w:sz="0" w:space="0" w:color="auto"/>
        <w:left w:val="none" w:sz="0" w:space="0" w:color="auto"/>
        <w:bottom w:val="none" w:sz="0" w:space="0" w:color="auto"/>
        <w:right w:val="none" w:sz="0" w:space="0" w:color="auto"/>
      </w:divBdr>
      <w:divsChild>
        <w:div w:id="523128693">
          <w:marLeft w:val="0"/>
          <w:marRight w:val="0"/>
          <w:marTop w:val="0"/>
          <w:marBottom w:val="225"/>
          <w:divBdr>
            <w:top w:val="none" w:sz="0" w:space="0" w:color="auto"/>
            <w:left w:val="none" w:sz="0" w:space="0" w:color="auto"/>
            <w:bottom w:val="none" w:sz="0" w:space="0" w:color="auto"/>
            <w:right w:val="none" w:sz="0" w:space="0" w:color="auto"/>
          </w:divBdr>
        </w:div>
        <w:div w:id="1228957274">
          <w:marLeft w:val="0"/>
          <w:marRight w:val="0"/>
          <w:marTop w:val="0"/>
          <w:marBottom w:val="225"/>
          <w:divBdr>
            <w:top w:val="none" w:sz="0" w:space="0" w:color="auto"/>
            <w:left w:val="none" w:sz="0" w:space="0" w:color="auto"/>
            <w:bottom w:val="none" w:sz="0" w:space="0" w:color="auto"/>
            <w:right w:val="none" w:sz="0" w:space="0" w:color="auto"/>
          </w:divBdr>
        </w:div>
        <w:div w:id="865599819">
          <w:marLeft w:val="0"/>
          <w:marRight w:val="0"/>
          <w:marTop w:val="0"/>
          <w:marBottom w:val="225"/>
          <w:divBdr>
            <w:top w:val="none" w:sz="0" w:space="0" w:color="auto"/>
            <w:left w:val="none" w:sz="0" w:space="0" w:color="auto"/>
            <w:bottom w:val="none" w:sz="0" w:space="0" w:color="auto"/>
            <w:right w:val="none" w:sz="0" w:space="0" w:color="auto"/>
          </w:divBdr>
        </w:div>
        <w:div w:id="735593800">
          <w:marLeft w:val="0"/>
          <w:marRight w:val="0"/>
          <w:marTop w:val="0"/>
          <w:marBottom w:val="225"/>
          <w:divBdr>
            <w:top w:val="none" w:sz="0" w:space="0" w:color="auto"/>
            <w:left w:val="none" w:sz="0" w:space="0" w:color="auto"/>
            <w:bottom w:val="none" w:sz="0" w:space="0" w:color="auto"/>
            <w:right w:val="none" w:sz="0" w:space="0" w:color="auto"/>
          </w:divBdr>
        </w:div>
        <w:div w:id="2068524442">
          <w:marLeft w:val="0"/>
          <w:marRight w:val="0"/>
          <w:marTop w:val="0"/>
          <w:marBottom w:val="225"/>
          <w:divBdr>
            <w:top w:val="none" w:sz="0" w:space="0" w:color="auto"/>
            <w:left w:val="none" w:sz="0" w:space="0" w:color="auto"/>
            <w:bottom w:val="none" w:sz="0" w:space="0" w:color="auto"/>
            <w:right w:val="none" w:sz="0" w:space="0" w:color="auto"/>
          </w:divBdr>
        </w:div>
      </w:divsChild>
    </w:div>
    <w:div w:id="775902755">
      <w:bodyDiv w:val="1"/>
      <w:marLeft w:val="0"/>
      <w:marRight w:val="0"/>
      <w:marTop w:val="0"/>
      <w:marBottom w:val="0"/>
      <w:divBdr>
        <w:top w:val="none" w:sz="0" w:space="0" w:color="auto"/>
        <w:left w:val="none" w:sz="0" w:space="0" w:color="auto"/>
        <w:bottom w:val="none" w:sz="0" w:space="0" w:color="auto"/>
        <w:right w:val="none" w:sz="0" w:space="0" w:color="auto"/>
      </w:divBdr>
      <w:divsChild>
        <w:div w:id="30737583">
          <w:marLeft w:val="1253"/>
          <w:marRight w:val="0"/>
          <w:marTop w:val="86"/>
          <w:marBottom w:val="0"/>
          <w:divBdr>
            <w:top w:val="none" w:sz="0" w:space="0" w:color="auto"/>
            <w:left w:val="none" w:sz="0" w:space="0" w:color="auto"/>
            <w:bottom w:val="none" w:sz="0" w:space="0" w:color="auto"/>
            <w:right w:val="none" w:sz="0" w:space="0" w:color="auto"/>
          </w:divBdr>
        </w:div>
      </w:divsChild>
    </w:div>
    <w:div w:id="905335488">
      <w:bodyDiv w:val="1"/>
      <w:marLeft w:val="0"/>
      <w:marRight w:val="0"/>
      <w:marTop w:val="0"/>
      <w:marBottom w:val="0"/>
      <w:divBdr>
        <w:top w:val="none" w:sz="0" w:space="0" w:color="auto"/>
        <w:left w:val="none" w:sz="0" w:space="0" w:color="auto"/>
        <w:bottom w:val="none" w:sz="0" w:space="0" w:color="auto"/>
        <w:right w:val="none" w:sz="0" w:space="0" w:color="auto"/>
      </w:divBdr>
      <w:divsChild>
        <w:div w:id="1799834394">
          <w:marLeft w:val="1253"/>
          <w:marRight w:val="0"/>
          <w:marTop w:val="86"/>
          <w:marBottom w:val="0"/>
          <w:divBdr>
            <w:top w:val="none" w:sz="0" w:space="0" w:color="auto"/>
            <w:left w:val="none" w:sz="0" w:space="0" w:color="auto"/>
            <w:bottom w:val="none" w:sz="0" w:space="0" w:color="auto"/>
            <w:right w:val="none" w:sz="0" w:space="0" w:color="auto"/>
          </w:divBdr>
        </w:div>
      </w:divsChild>
    </w:div>
    <w:div w:id="970552346">
      <w:bodyDiv w:val="1"/>
      <w:marLeft w:val="0"/>
      <w:marRight w:val="0"/>
      <w:marTop w:val="0"/>
      <w:marBottom w:val="0"/>
      <w:divBdr>
        <w:top w:val="none" w:sz="0" w:space="0" w:color="auto"/>
        <w:left w:val="none" w:sz="0" w:space="0" w:color="auto"/>
        <w:bottom w:val="none" w:sz="0" w:space="0" w:color="auto"/>
        <w:right w:val="none" w:sz="0" w:space="0" w:color="auto"/>
      </w:divBdr>
      <w:divsChild>
        <w:div w:id="6097902">
          <w:marLeft w:val="1253"/>
          <w:marRight w:val="0"/>
          <w:marTop w:val="86"/>
          <w:marBottom w:val="0"/>
          <w:divBdr>
            <w:top w:val="none" w:sz="0" w:space="0" w:color="auto"/>
            <w:left w:val="none" w:sz="0" w:space="0" w:color="auto"/>
            <w:bottom w:val="none" w:sz="0" w:space="0" w:color="auto"/>
            <w:right w:val="none" w:sz="0" w:space="0" w:color="auto"/>
          </w:divBdr>
        </w:div>
      </w:divsChild>
    </w:div>
    <w:div w:id="1375154004">
      <w:bodyDiv w:val="1"/>
      <w:marLeft w:val="0"/>
      <w:marRight w:val="0"/>
      <w:marTop w:val="0"/>
      <w:marBottom w:val="0"/>
      <w:divBdr>
        <w:top w:val="none" w:sz="0" w:space="0" w:color="auto"/>
        <w:left w:val="none" w:sz="0" w:space="0" w:color="auto"/>
        <w:bottom w:val="none" w:sz="0" w:space="0" w:color="auto"/>
        <w:right w:val="none" w:sz="0" w:space="0" w:color="auto"/>
      </w:divBdr>
      <w:divsChild>
        <w:div w:id="80177860">
          <w:marLeft w:val="0"/>
          <w:marRight w:val="0"/>
          <w:marTop w:val="0"/>
          <w:marBottom w:val="75"/>
          <w:divBdr>
            <w:top w:val="none" w:sz="0" w:space="0" w:color="auto"/>
            <w:left w:val="none" w:sz="0" w:space="0" w:color="auto"/>
            <w:bottom w:val="none" w:sz="0" w:space="0" w:color="auto"/>
            <w:right w:val="none" w:sz="0" w:space="0" w:color="auto"/>
          </w:divBdr>
        </w:div>
        <w:div w:id="427041637">
          <w:marLeft w:val="0"/>
          <w:marRight w:val="0"/>
          <w:marTop w:val="0"/>
          <w:marBottom w:val="75"/>
          <w:divBdr>
            <w:top w:val="none" w:sz="0" w:space="0" w:color="auto"/>
            <w:left w:val="none" w:sz="0" w:space="0" w:color="auto"/>
            <w:bottom w:val="none" w:sz="0" w:space="0" w:color="auto"/>
            <w:right w:val="none" w:sz="0" w:space="0" w:color="auto"/>
          </w:divBdr>
        </w:div>
        <w:div w:id="1893498027">
          <w:marLeft w:val="0"/>
          <w:marRight w:val="0"/>
          <w:marTop w:val="0"/>
          <w:marBottom w:val="75"/>
          <w:divBdr>
            <w:top w:val="none" w:sz="0" w:space="0" w:color="auto"/>
            <w:left w:val="none" w:sz="0" w:space="0" w:color="auto"/>
            <w:bottom w:val="none" w:sz="0" w:space="0" w:color="auto"/>
            <w:right w:val="none" w:sz="0" w:space="0" w:color="auto"/>
          </w:divBdr>
        </w:div>
      </w:divsChild>
    </w:div>
    <w:div w:id="1905481466">
      <w:bodyDiv w:val="1"/>
      <w:marLeft w:val="0"/>
      <w:marRight w:val="0"/>
      <w:marTop w:val="0"/>
      <w:marBottom w:val="0"/>
      <w:divBdr>
        <w:top w:val="none" w:sz="0" w:space="0" w:color="auto"/>
        <w:left w:val="none" w:sz="0" w:space="0" w:color="auto"/>
        <w:bottom w:val="none" w:sz="0" w:space="0" w:color="auto"/>
        <w:right w:val="none" w:sz="0" w:space="0" w:color="auto"/>
      </w:divBdr>
    </w:div>
    <w:div w:id="1942951838">
      <w:bodyDiv w:val="1"/>
      <w:marLeft w:val="0"/>
      <w:marRight w:val="0"/>
      <w:marTop w:val="0"/>
      <w:marBottom w:val="0"/>
      <w:divBdr>
        <w:top w:val="none" w:sz="0" w:space="0" w:color="auto"/>
        <w:left w:val="none" w:sz="0" w:space="0" w:color="auto"/>
        <w:bottom w:val="none" w:sz="0" w:space="0" w:color="auto"/>
        <w:right w:val="none" w:sz="0" w:space="0" w:color="auto"/>
      </w:divBdr>
      <w:divsChild>
        <w:div w:id="500237172">
          <w:marLeft w:val="1253"/>
          <w:marRight w:val="0"/>
          <w:marTop w:val="86"/>
          <w:marBottom w:val="0"/>
          <w:divBdr>
            <w:top w:val="none" w:sz="0" w:space="0" w:color="auto"/>
            <w:left w:val="none" w:sz="0" w:space="0" w:color="auto"/>
            <w:bottom w:val="none" w:sz="0" w:space="0" w:color="auto"/>
            <w:right w:val="none" w:sz="0" w:space="0" w:color="auto"/>
          </w:divBdr>
        </w:div>
      </w:divsChild>
    </w:div>
    <w:div w:id="1959137735">
      <w:bodyDiv w:val="1"/>
      <w:marLeft w:val="0"/>
      <w:marRight w:val="0"/>
      <w:marTop w:val="0"/>
      <w:marBottom w:val="0"/>
      <w:divBdr>
        <w:top w:val="none" w:sz="0" w:space="0" w:color="auto"/>
        <w:left w:val="none" w:sz="0" w:space="0" w:color="auto"/>
        <w:bottom w:val="none" w:sz="0" w:space="0" w:color="auto"/>
        <w:right w:val="none" w:sz="0" w:space="0" w:color="auto"/>
      </w:divBdr>
      <w:divsChild>
        <w:div w:id="19822627">
          <w:marLeft w:val="0"/>
          <w:marRight w:val="0"/>
          <w:marTop w:val="0"/>
          <w:marBottom w:val="225"/>
          <w:divBdr>
            <w:top w:val="none" w:sz="0" w:space="0" w:color="auto"/>
            <w:left w:val="none" w:sz="0" w:space="0" w:color="auto"/>
            <w:bottom w:val="none" w:sz="0" w:space="0" w:color="auto"/>
            <w:right w:val="none" w:sz="0" w:space="0" w:color="auto"/>
          </w:divBdr>
        </w:div>
        <w:div w:id="1873103817">
          <w:marLeft w:val="0"/>
          <w:marRight w:val="0"/>
          <w:marTop w:val="0"/>
          <w:marBottom w:val="225"/>
          <w:divBdr>
            <w:top w:val="none" w:sz="0" w:space="0" w:color="auto"/>
            <w:left w:val="none" w:sz="0" w:space="0" w:color="auto"/>
            <w:bottom w:val="none" w:sz="0" w:space="0" w:color="auto"/>
            <w:right w:val="none" w:sz="0" w:space="0" w:color="auto"/>
          </w:divBdr>
        </w:div>
      </w:divsChild>
    </w:div>
    <w:div w:id="2027363332">
      <w:bodyDiv w:val="1"/>
      <w:marLeft w:val="0"/>
      <w:marRight w:val="0"/>
      <w:marTop w:val="0"/>
      <w:marBottom w:val="0"/>
      <w:divBdr>
        <w:top w:val="none" w:sz="0" w:space="0" w:color="auto"/>
        <w:left w:val="none" w:sz="0" w:space="0" w:color="auto"/>
        <w:bottom w:val="none" w:sz="0" w:space="0" w:color="auto"/>
        <w:right w:val="none" w:sz="0" w:space="0" w:color="auto"/>
      </w:divBdr>
      <w:divsChild>
        <w:div w:id="1936936548">
          <w:marLeft w:val="1253"/>
          <w:marRight w:val="0"/>
          <w:marTop w:val="86"/>
          <w:marBottom w:val="0"/>
          <w:divBdr>
            <w:top w:val="none" w:sz="0" w:space="0" w:color="auto"/>
            <w:left w:val="none" w:sz="0" w:space="0" w:color="auto"/>
            <w:bottom w:val="none" w:sz="0" w:space="0" w:color="auto"/>
            <w:right w:val="none" w:sz="0" w:space="0" w:color="auto"/>
          </w:divBdr>
        </w:div>
      </w:divsChild>
    </w:div>
    <w:div w:id="2037848867">
      <w:bodyDiv w:val="1"/>
      <w:marLeft w:val="0"/>
      <w:marRight w:val="0"/>
      <w:marTop w:val="0"/>
      <w:marBottom w:val="0"/>
      <w:divBdr>
        <w:top w:val="none" w:sz="0" w:space="0" w:color="auto"/>
        <w:left w:val="none" w:sz="0" w:space="0" w:color="auto"/>
        <w:bottom w:val="none" w:sz="0" w:space="0" w:color="auto"/>
        <w:right w:val="none" w:sz="0" w:space="0" w:color="auto"/>
      </w:divBdr>
      <w:divsChild>
        <w:div w:id="782385200">
          <w:marLeft w:val="1253"/>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A4FF-21E2-4B53-AAA7-57AAAFA4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5</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knight</dc:creator>
  <cp:keywords/>
  <dc:description/>
  <cp:lastModifiedBy>dark knight</cp:lastModifiedBy>
  <cp:revision>4</cp:revision>
  <dcterms:created xsi:type="dcterms:W3CDTF">2018-11-05T05:04:00Z</dcterms:created>
  <dcterms:modified xsi:type="dcterms:W3CDTF">2018-11-07T14:18:00Z</dcterms:modified>
</cp:coreProperties>
</file>