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A subtitle line</w:t>
      </w:r>
    </w:p>
    <w:p>
      <w:pPr>
        <w:pStyle w:val="Heading1"/>
      </w:pPr>
      <w:r>
        <w:t>Heading level 1</w:t>
      </w:r>
    </w:p>
    <w:p>
      <w:r>
        <w:t xml:space="preserve">The quick brown fox jumps over the lazy dog while the committee reviews the quarterly figures, and the minutes note every decision in plain words. </w:t>
      </w:r>
    </w:p>
    <w:p>
      <w:pPr>
        <w:pStyle w:val="Heading2"/>
      </w:pPr>
      <w:r>
        <w:t>Heading level 2</w:t>
      </w:r>
    </w:p>
    <w:p>
      <w:r>
        <w:t xml:space="preserve">The quick brown fox jumps over the lazy dog while the committee reviews the quarterly figures, and the minutes note every decision in plain words. </w:t>
      </w:r>
    </w:p>
    <w:p>
      <w:pPr>
        <w:pStyle w:val="Heading3"/>
      </w:pPr>
      <w:r>
        <w:t>Heading level 3</w:t>
      </w:r>
    </w:p>
    <w:p>
      <w:r>
        <w:t xml:space="preserve">The quick brown fox jumps over the lazy dog while the committee reviews the quarterly figures, and the minutes note every decision in plain words. </w:t>
      </w:r>
    </w:p>
    <w:p>
      <w:pPr>
        <w:pStyle w:val="Quote"/>
      </w:pPr>
      <w:r>
        <w:t>A quotation that matters.</w:t>
      </w:r>
    </w:p>
    <w:p>
      <w:pPr>
        <w:pStyle w:val="IntenseQuote"/>
      </w:pPr>
      <w:r>
        <w:t>An intense quotation.</w:t>
      </w:r>
    </w:p>
    <w:p>
      <w:r>
        <w:rPr>
          <w:rFonts w:ascii="Calibri" w:hAnsi="Calibri"/>
          <w:sz w:val="28"/>
        </w:rPr>
        <w:t>Calibri at 14 pt</w:t>
      </w:r>
    </w:p>
    <w:p>
      <w:r>
        <w:rPr>
          <w:rFonts w:ascii="Cambria" w:hAnsi="Cambria"/>
          <w:sz w:val="28"/>
        </w:rPr>
        <w:t>Cambria at 14 pt</w:t>
      </w:r>
    </w:p>
    <w:p>
      <w:r>
        <w:rPr>
          <w:rFonts w:ascii="Arial" w:hAnsi="Arial"/>
          <w:sz w:val="28"/>
        </w:rPr>
        <w:t>Arial at 14 pt</w:t>
      </w:r>
    </w:p>
    <w:p>
      <w:r>
        <w:rPr>
          <w:rFonts w:ascii="Times New Roman" w:hAnsi="Times New Roman"/>
          <w:sz w:val="28"/>
        </w:rPr>
        <w:t>Times New Roman at 14 pt</w:t>
      </w:r>
    </w:p>
    <w:p>
      <w:r>
        <w:rPr>
          <w:rFonts w:ascii="Courier New" w:hAnsi="Courier New"/>
          <w:sz w:val="28"/>
        </w:rPr>
        <w:t>Courier New at 14 pt</w:t>
      </w:r>
    </w:p>
    <w:p>
      <w:r>
        <w:rPr>
          <w:color w:val="C00000"/>
        </w:rPr>
        <w:t xml:space="preserve">Red text, </w:t>
      </w:r>
      <w:r>
        <w:rPr>
          <w:strike/>
        </w:rPr>
        <w:t xml:space="preserve">strikethrough, </w:t>
      </w:r>
      <w:r>
        <w:t>x</w:t>
      </w:r>
      <w:r>
        <w:rPr>
          <w:vertAlign w:val="superscript"/>
        </w:rPr>
        <w:t>2</w:t>
      </w:r>
      <w:r>
        <w:t xml:space="preserve"> and H</w:t>
      </w:r>
      <w:r>
        <w:rPr>
          <w:vertAlign w:val="subscript"/>
        </w:rPr>
        <w:t>2</w:t>
      </w:r>
      <w:r>
        <w:t>O.</w:t>
      </w:r>
    </w:p>
    <w:p>
      <w:pPr>
        <w:jc w:val="center"/>
      </w:pPr>
      <w:r>
        <w:t xml:space="preserve">Center aligned. The quick brown fox jumps over the lazy dog while the committee reviews the quarterly figures, and the minutes note every decision in plain words. </w:t>
      </w:r>
    </w:p>
    <w:p>
      <w:pPr>
        <w:jc w:val="right"/>
      </w:pPr>
      <w:r>
        <w:t xml:space="preserve">Right aligned. The quick brown fox jumps over the lazy dog while the committee reviews the quarterly figures, and the minutes note every decision in plain words. </w:t>
      </w:r>
    </w:p>
    <w:p>
      <w:pPr>
        <w:jc w:val="both"/>
      </w:pPr>
      <w:r>
        <w:t xml:space="preserve">Justify aligned. The quick brown fox jumps over the lazy dog while the committee reviews the quarterly figures, and the minutes note every decision in plain words. </w:t>
      </w:r>
    </w:p>
    <w:p>
      <w:pPr>
        <w:pStyle w:val="LucidCallout"/>
      </w:pPr>
      <w:r>
        <w:t>A paragraph in a custom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cidCallout">
    <w:name w:val="Lucid Callout"/>
    <w:basedOn w:val="Normal"/>
    <w:rPr>
      <w:b/>
      <w:color w:val="1F4E7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