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BB284C"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BB284C"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BB284C"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BB284C"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BB284C"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BB284C"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BB284C"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BB284C"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BB284C"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BB284C"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BB284C"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102E73" w:rsidRDefault="00480E94" w:rsidP="00480E94">
      <w:pPr>
        <w:spacing w:after="0" w:line="480" w:lineRule="auto"/>
        <w:jc w:val="center"/>
        <w:rPr>
          <w:rFonts w:ascii="Times New Roman" w:hAnsi="Times New Roman" w:cs="Times New Roman"/>
          <w:b/>
          <w:sz w:val="24"/>
          <w:szCs w:val="24"/>
        </w:rPr>
      </w:pPr>
      <w:bookmarkStart w:id="7" w:name="Acknowledgements"/>
      <w:bookmarkEnd w:id="7"/>
      <w:r w:rsidRPr="00102E73">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sidRPr="00102E73">
        <w:rPr>
          <w:rFonts w:ascii="Times New Roman" w:hAnsi="Times New Roman" w:cs="Times New Roman"/>
          <w:sz w:val="24"/>
          <w:szCs w:val="24"/>
        </w:rPr>
        <w:tab/>
      </w:r>
      <w:r w:rsidR="008A4DDF" w:rsidRPr="00102E73">
        <w:rPr>
          <w:rFonts w:ascii="Times New Roman" w:hAnsi="Times New Roman" w:cs="Times New Roman"/>
          <w:sz w:val="24"/>
          <w:szCs w:val="24"/>
        </w:rPr>
        <w:t>Dr. Hisako Matsuo</w:t>
      </w:r>
      <w:r w:rsidR="008A4DDF">
        <w:rPr>
          <w:rFonts w:ascii="Times New Roman" w:hAnsi="Times New Roman" w:cs="Times New Roman"/>
          <w:sz w:val="24"/>
          <w:szCs w:val="24"/>
        </w:rPr>
        <w:t xml:space="preserve">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8" w:name="Declarations"/>
      <w:bookmarkEnd w:id="8"/>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9" w:name="AppendixA"/>
      <w:bookmarkEnd w:id="9"/>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bookmarkStart w:id="10" w:name="_GoBack"/>
      <w:bookmarkEnd w:id="10"/>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BB284C">
      <w:pPr>
        <w:rPr>
          <w:rFonts w:ascii="Times New Roman" w:hAnsi="Times New Roman" w:cs="Times New Roman"/>
          <w:sz w:val="20"/>
          <w:szCs w:val="20"/>
        </w:rPr>
      </w:pPr>
    </w:p>
    <w:sectPr w:rsidR="004068FF" w:rsidSect="00BB284C">
      <w:headerReference w:type="default" r:id="rId10"/>
      <w:headerReference w:type="firs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00BB284C">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B284C">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B284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3A243B8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47</Pages>
  <Words>10582</Words>
  <Characters>60321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cp:revision>
  <dcterms:created xsi:type="dcterms:W3CDTF">2019-07-29T23:55:00Z</dcterms:created>
  <dcterms:modified xsi:type="dcterms:W3CDTF">2019-07-30T16:52:00Z</dcterms:modified>
</cp:coreProperties>
</file>