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w:t>
      </w:r>
      <w:r w:rsidR="00597556">
        <w:rPr>
          <w:rFonts w:ascii="Times New Roman" w:hAnsi="Times New Roman" w:cs="Times New Roman"/>
          <w:sz w:val="24"/>
          <w:szCs w:val="24"/>
        </w:rPr>
        <w:t>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bookmarkStart w:id="0" w:name="_GoBack"/>
      <w:bookmarkEnd w:id="0"/>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494402"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494402"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494402"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494402"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494402"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w:t>
      </w:r>
      <w:r w:rsidR="001D0BA6">
        <w:rPr>
          <w:rFonts w:ascii="Times New Roman" w:hAnsi="Times New Roman" w:cs="Times New Roman"/>
          <w:sz w:val="24"/>
          <w:szCs w:val="24"/>
        </w:rPr>
        <w:lastRenderedPageBreak/>
        <w:t>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402" w:rsidRDefault="00494402" w:rsidP="00ED3A93">
      <w:pPr>
        <w:spacing w:after="0" w:line="240" w:lineRule="auto"/>
      </w:pPr>
      <w:r>
        <w:separator/>
      </w:r>
    </w:p>
  </w:endnote>
  <w:endnote w:type="continuationSeparator" w:id="0">
    <w:p w:rsidR="00494402" w:rsidRDefault="00494402"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402" w:rsidRDefault="00494402" w:rsidP="00ED3A93">
      <w:pPr>
        <w:spacing w:after="0" w:line="240" w:lineRule="auto"/>
      </w:pPr>
      <w:r>
        <w:separator/>
      </w:r>
    </w:p>
  </w:footnote>
  <w:footnote w:type="continuationSeparator" w:id="0">
    <w:p w:rsidR="00494402" w:rsidRDefault="00494402"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25862">
      <w:rPr>
        <w:rFonts w:ascii="Times New Roman" w:hAnsi="Times New Roman" w:cs="Times New Roman"/>
        <w:noProof/>
        <w:sz w:val="24"/>
      </w:rPr>
      <w:t>9</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26C03">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3AFD"/>
    <w:rsid w:val="00024A7F"/>
    <w:rsid w:val="0003023E"/>
    <w:rsid w:val="00030383"/>
    <w:rsid w:val="0003641D"/>
    <w:rsid w:val="00043C5B"/>
    <w:rsid w:val="00050454"/>
    <w:rsid w:val="00050632"/>
    <w:rsid w:val="000510AA"/>
    <w:rsid w:val="000819E9"/>
    <w:rsid w:val="000837EA"/>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226"/>
    <w:rsid w:val="001D0BA6"/>
    <w:rsid w:val="001D5384"/>
    <w:rsid w:val="001D6329"/>
    <w:rsid w:val="001F264D"/>
    <w:rsid w:val="002002D8"/>
    <w:rsid w:val="00205B2C"/>
    <w:rsid w:val="00225414"/>
    <w:rsid w:val="00231164"/>
    <w:rsid w:val="00231217"/>
    <w:rsid w:val="002424F7"/>
    <w:rsid w:val="00244CBF"/>
    <w:rsid w:val="00250EC3"/>
    <w:rsid w:val="002531CD"/>
    <w:rsid w:val="00255C68"/>
    <w:rsid w:val="00264174"/>
    <w:rsid w:val="00267CD3"/>
    <w:rsid w:val="0027045F"/>
    <w:rsid w:val="00270676"/>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77FD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35D1E"/>
    <w:rsid w:val="0044284E"/>
    <w:rsid w:val="00452D79"/>
    <w:rsid w:val="004635D5"/>
    <w:rsid w:val="00463BE1"/>
    <w:rsid w:val="004642A8"/>
    <w:rsid w:val="00465009"/>
    <w:rsid w:val="00484E85"/>
    <w:rsid w:val="00492BB0"/>
    <w:rsid w:val="00494402"/>
    <w:rsid w:val="004A2BFE"/>
    <w:rsid w:val="004A6A74"/>
    <w:rsid w:val="004B002C"/>
    <w:rsid w:val="004D2674"/>
    <w:rsid w:val="004E0725"/>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F98"/>
    <w:rsid w:val="005B52EF"/>
    <w:rsid w:val="005B60C8"/>
    <w:rsid w:val="005C3A1F"/>
    <w:rsid w:val="005C78F8"/>
    <w:rsid w:val="005D0825"/>
    <w:rsid w:val="005D3F04"/>
    <w:rsid w:val="005D4726"/>
    <w:rsid w:val="005D50C5"/>
    <w:rsid w:val="005E0636"/>
    <w:rsid w:val="005E58AD"/>
    <w:rsid w:val="005F5941"/>
    <w:rsid w:val="005F649C"/>
    <w:rsid w:val="006108F2"/>
    <w:rsid w:val="00611638"/>
    <w:rsid w:val="006176B2"/>
    <w:rsid w:val="0063057F"/>
    <w:rsid w:val="00631E66"/>
    <w:rsid w:val="00632052"/>
    <w:rsid w:val="006423A4"/>
    <w:rsid w:val="006603D4"/>
    <w:rsid w:val="00661871"/>
    <w:rsid w:val="006720CB"/>
    <w:rsid w:val="0067524E"/>
    <w:rsid w:val="0067594F"/>
    <w:rsid w:val="00692922"/>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C38DF"/>
    <w:rsid w:val="008D0DFC"/>
    <w:rsid w:val="008D4B98"/>
    <w:rsid w:val="008E0001"/>
    <w:rsid w:val="008E0821"/>
    <w:rsid w:val="008E1189"/>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33BB3"/>
    <w:rsid w:val="00940734"/>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76A8D"/>
    <w:rsid w:val="00A80178"/>
    <w:rsid w:val="00A86885"/>
    <w:rsid w:val="00A869B4"/>
    <w:rsid w:val="00A95B39"/>
    <w:rsid w:val="00A9722D"/>
    <w:rsid w:val="00AA78A5"/>
    <w:rsid w:val="00AB1AD8"/>
    <w:rsid w:val="00AB1CA8"/>
    <w:rsid w:val="00AB4934"/>
    <w:rsid w:val="00AB7F2E"/>
    <w:rsid w:val="00AC2C6F"/>
    <w:rsid w:val="00AC58C8"/>
    <w:rsid w:val="00AD2CB2"/>
    <w:rsid w:val="00AD469C"/>
    <w:rsid w:val="00AD550B"/>
    <w:rsid w:val="00AE2F9F"/>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53AF5"/>
    <w:rsid w:val="00E543AC"/>
    <w:rsid w:val="00E555F5"/>
    <w:rsid w:val="00E5774D"/>
    <w:rsid w:val="00E7090D"/>
    <w:rsid w:val="00E70AD4"/>
    <w:rsid w:val="00E70B33"/>
    <w:rsid w:val="00E76E1E"/>
    <w:rsid w:val="00E81467"/>
    <w:rsid w:val="00E83B6C"/>
    <w:rsid w:val="00E86DCB"/>
    <w:rsid w:val="00E91BFB"/>
    <w:rsid w:val="00EA4A82"/>
    <w:rsid w:val="00EB3DE9"/>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8E59DBA"/>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34</Pages>
  <Words>7888</Words>
  <Characters>44964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473</cp:revision>
  <dcterms:created xsi:type="dcterms:W3CDTF">2018-09-18T16:55:00Z</dcterms:created>
  <dcterms:modified xsi:type="dcterms:W3CDTF">2019-07-18T18:54:00Z</dcterms:modified>
</cp:coreProperties>
</file>