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264174"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Measuring the Payoff from Federally-Funded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t xml:space="preserve">Exploring Approaches to </w:t>
      </w:r>
      <w:r>
        <w:rPr>
          <w:rFonts w:ascii="Times New Roman" w:hAnsi="Times New Roman" w:cs="Times New Roman"/>
          <w:sz w:val="24"/>
          <w:szCs w:val="24"/>
        </w:rPr>
        <w:t>Improving Construct Validity in Studies of 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522BED" w:rsidRPr="00522BED" w:rsidRDefault="00781FC8" w:rsidP="00522BE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{ENTER TEXT}</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522BED" w:rsidRPr="00522BED">
        <w:rPr>
          <w:rFonts w:ascii="Times New Roman" w:hAnsi="Times New Roman" w:cs="Times New Roman"/>
          <w:sz w:val="24"/>
          <w:szCs w:val="24"/>
        </w:rPr>
        <w:t xml:space="preserve">technology transfer, technology commercialization, research and development, </w:t>
      </w:r>
      <w:r w:rsidR="00781FC8">
        <w:rPr>
          <w:rFonts w:ascii="Times New Roman" w:hAnsi="Times New Roman" w:cs="Times New Roman"/>
          <w:sz w:val="24"/>
          <w:szCs w:val="24"/>
        </w:rPr>
        <w:t>public policy, 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Improving the transfer of technologies derived from federally-funded research and development (R&amp;D), so called technology transfer, is arguably one of the highest public policy priorities of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 OMB 2008</w:t>
      </w:r>
      <w:r w:rsidR="00BB7F88">
        <w:rPr>
          <w:rFonts w:ascii="Times New Roman" w:hAnsi="Times New Roman" w:cs="Times New Roman"/>
          <w:sz w:val="24"/>
          <w:szCs w:val="24"/>
        </w:rPr>
        <w:t>,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public policy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public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 xml:space="preserve">Advancement of Science [AAAS], 2018a).  Although this represented less than 3.7 percent of the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 problems of national interest to which the government could direct monies currently being spent on R&amp;D such as road repairs, alleviating hunger, and addressing issues with inequity in the court system.  As Figure 1 shows, federal R&amp;D expenditures is equivalent to roughly 20 percent of the federal budget deficit and exceeds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public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w:t>
      </w:r>
      <w:r>
        <w:rPr>
          <w:rFonts w:ascii="Times New Roman" w:hAnsi="Times New Roman" w:cs="Times New Roman"/>
          <w:sz w:val="24"/>
          <w:szCs w:val="24"/>
        </w:rPr>
        <w:t xml:space="preserve"> we measure the payo</w:t>
      </w:r>
      <w:r>
        <w:rPr>
          <w:rFonts w:ascii="Times New Roman" w:hAnsi="Times New Roman" w:cs="Times New Roman"/>
          <w:sz w:val="24"/>
          <w:szCs w:val="24"/>
        </w:rPr>
        <w:t>ff from federally-funded R&amp;D and formulate public policy</w:t>
      </w:r>
      <w:r w:rsidR="00F92449">
        <w:rPr>
          <w:rFonts w:ascii="Times New Roman" w:hAnsi="Times New Roman" w:cs="Times New Roman"/>
          <w:sz w:val="24"/>
          <w:szCs w:val="24"/>
        </w:rPr>
        <w:t xml:space="preserve"> regarding federal R&amp;D initiatives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It therefore stands to reason that improving construct validity in studies of technology transfer will provide new and useful insights that can illuminate opportunities to increase the benefits from federally-funded R&amp;D that accrue to society.</w:t>
      </w:r>
      <w:r w:rsidR="00F92449">
        <w:rPr>
          <w:rFonts w:ascii="Times New Roman" w:hAnsi="Times New Roman" w:cs="Times New Roman"/>
          <w:sz w:val="24"/>
          <w:szCs w:val="24"/>
        </w:rPr>
        <w:t xml:space="preserve">  Consequently, the purpose of this study is to explore an alternative approach to measuring the payoff from federally-funded R&amp;D, investigate how such</w:t>
      </w:r>
      <w:r w:rsidR="00853D7F">
        <w:rPr>
          <w:rFonts w:ascii="Times New Roman" w:hAnsi="Times New Roman" w:cs="Times New Roman"/>
          <w:sz w:val="24"/>
          <w:szCs w:val="24"/>
        </w:rPr>
        <w:t xml:space="preserve"> an</w:t>
      </w:r>
      <w:r w:rsidR="00F92449">
        <w:rPr>
          <w:rFonts w:ascii="Times New Roman" w:hAnsi="Times New Roman" w:cs="Times New Roman"/>
          <w:sz w:val="24"/>
          <w:szCs w:val="24"/>
        </w:rPr>
        <w:t xml:space="preserve"> alternative measurement approach modifies our understanding of the technology transfer process, and consider the public policy im</w:t>
      </w:r>
      <w:r w:rsidR="00853D7F">
        <w:rPr>
          <w:rFonts w:ascii="Times New Roman" w:hAnsi="Times New Roman" w:cs="Times New Roman"/>
          <w:sz w:val="24"/>
          <w:szCs w:val="24"/>
        </w:rPr>
        <w:t>plications of this new insight about technology transfer</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Literature Review</w:t>
      </w:r>
    </w:p>
    <w:p w:rsidR="007A15DA"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A15DA">
        <w:rPr>
          <w:rFonts w:ascii="Times New Roman" w:hAnsi="Times New Roman" w:cs="Times New Roman"/>
          <w:sz w:val="24"/>
          <w:szCs w:val="24"/>
        </w:rPr>
        <w:t xml:space="preserve">Technology transfer is a concept for which there is no official definition.  While most studies of the topic don’t explicitly define technology transfer, they generally seem to operationalize it as a financially-based exchange </w:t>
      </w:r>
      <w:r w:rsidR="007A15DA">
        <w:rPr>
          <w:rFonts w:ascii="Times New Roman" w:hAnsi="Times New Roman" w:cs="Times New Roman"/>
          <w:sz w:val="24"/>
          <w:szCs w:val="24"/>
        </w:rPr>
        <w:t>(Gonzalez-</w:t>
      </w:r>
      <w:proofErr w:type="spellStart"/>
      <w:r w:rsidR="007A15DA">
        <w:rPr>
          <w:rFonts w:ascii="Times New Roman" w:hAnsi="Times New Roman" w:cs="Times New Roman"/>
          <w:sz w:val="24"/>
          <w:szCs w:val="24"/>
        </w:rPr>
        <w:t>Perni</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Kuechle</w:t>
      </w:r>
      <w:proofErr w:type="spellEnd"/>
      <w:r w:rsidR="007A15DA">
        <w:rPr>
          <w:rFonts w:ascii="Times New Roman" w:hAnsi="Times New Roman" w:cs="Times New Roman"/>
          <w:sz w:val="24"/>
          <w:szCs w:val="24"/>
        </w:rPr>
        <w:t xml:space="preserve"> &amp; Pena-</w:t>
      </w:r>
      <w:proofErr w:type="spellStart"/>
      <w:r w:rsidR="007A15DA">
        <w:rPr>
          <w:rFonts w:ascii="Times New Roman" w:hAnsi="Times New Roman" w:cs="Times New Roman"/>
          <w:sz w:val="24"/>
          <w:szCs w:val="24"/>
        </w:rPr>
        <w:t>Legzkue</w:t>
      </w:r>
      <w:proofErr w:type="spellEnd"/>
      <w:r w:rsidR="007A15DA">
        <w:rPr>
          <w:rFonts w:ascii="Times New Roman" w:hAnsi="Times New Roman" w:cs="Times New Roman"/>
          <w:sz w:val="24"/>
          <w:szCs w:val="24"/>
        </w:rPr>
        <w:t xml:space="preserve">, 2013; Hallam, Wurth &amp; Mancha, 2014; </w:t>
      </w:r>
      <w:proofErr w:type="spellStart"/>
      <w:r w:rsidR="007A15DA">
        <w:rPr>
          <w:rFonts w:ascii="Times New Roman" w:hAnsi="Times New Roman" w:cs="Times New Roman"/>
          <w:sz w:val="24"/>
          <w:szCs w:val="24"/>
        </w:rPr>
        <w:t>Markman</w:t>
      </w:r>
      <w:proofErr w:type="spellEnd"/>
      <w:r w:rsidR="007A15DA">
        <w:rPr>
          <w:rFonts w:ascii="Times New Roman" w:hAnsi="Times New Roman" w:cs="Times New Roman"/>
          <w:sz w:val="24"/>
          <w:szCs w:val="24"/>
        </w:rPr>
        <w:t xml:space="preserve">, </w:t>
      </w:r>
      <w:proofErr w:type="spellStart"/>
      <w:r w:rsidR="007A15DA">
        <w:rPr>
          <w:rFonts w:ascii="Times New Roman" w:hAnsi="Times New Roman" w:cs="Times New Roman"/>
          <w:sz w:val="24"/>
          <w:szCs w:val="24"/>
        </w:rPr>
        <w:t>Gianiodis</w:t>
      </w:r>
      <w:proofErr w:type="spellEnd"/>
      <w:r w:rsidR="007A15DA">
        <w:rPr>
          <w:rFonts w:ascii="Times New Roman" w:hAnsi="Times New Roman" w:cs="Times New Roman"/>
          <w:sz w:val="24"/>
          <w:szCs w:val="24"/>
        </w:rPr>
        <w:t xml:space="preserve"> &amp; Phan, 2009).</w:t>
      </w:r>
      <w:r w:rsidR="007A15DA" w:rsidRPr="007A15DA">
        <w:rPr>
          <w:rFonts w:ascii="Times New Roman" w:hAnsi="Times New Roman" w:cs="Times New Roman"/>
          <w:sz w:val="24"/>
          <w:szCs w:val="24"/>
        </w:rPr>
        <w:t xml:space="preserve"> </w:t>
      </w:r>
      <w:r w:rsidR="007A15DA">
        <w:rPr>
          <w:rFonts w:ascii="Times New Roman" w:hAnsi="Times New Roman" w:cs="Times New Roman"/>
          <w:sz w:val="24"/>
          <w:szCs w:val="24"/>
        </w:rPr>
        <w:t xml:space="preserve"> However, t</w:t>
      </w:r>
      <w:r w:rsidR="007A15DA">
        <w:rPr>
          <w:rFonts w:ascii="Times New Roman" w:hAnsi="Times New Roman" w:cs="Times New Roman"/>
          <w:sz w:val="24"/>
          <w:szCs w:val="24"/>
        </w:rPr>
        <w:t xml:space="preserve">he operationalization of the construct in </w:t>
      </w:r>
      <w:r w:rsidR="007A15DA">
        <w:rPr>
          <w:rFonts w:ascii="Times New Roman" w:hAnsi="Times New Roman" w:cs="Times New Roman"/>
          <w:sz w:val="24"/>
          <w:szCs w:val="24"/>
        </w:rPr>
        <w:t xml:space="preserve">these </w:t>
      </w:r>
      <w:r w:rsidR="007A15DA">
        <w:rPr>
          <w:rFonts w:ascii="Times New Roman" w:hAnsi="Times New Roman" w:cs="Times New Roman"/>
          <w:sz w:val="24"/>
          <w:szCs w:val="24"/>
        </w:rPr>
        <w:t>studies generally seems to conflate the concept of technology transfer with the mechanisms for achieving it.  Licensing, new venture formation, research collaboration, and faculty consulting are generally used as in</w:t>
      </w:r>
      <w:r w:rsidR="007A15DA">
        <w:rPr>
          <w:rFonts w:ascii="Times New Roman" w:hAnsi="Times New Roman" w:cs="Times New Roman"/>
          <w:sz w:val="24"/>
          <w:szCs w:val="24"/>
        </w:rPr>
        <w:t>dicators of technology transfer.</w:t>
      </w:r>
    </w:p>
    <w:p w:rsidR="00533F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operationalizing the construct of technology transfer are 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Again, it seems that most</w:t>
      </w:r>
      <w:r w:rsidR="008E6D11" w:rsidRPr="008E6D11">
        <w:rPr>
          <w:rFonts w:ascii="Times New Roman" w:hAnsi="Times New Roman" w:cs="Times New Roman"/>
          <w:sz w:val="24"/>
          <w:szCs w:val="24"/>
        </w:rPr>
        <w:t xml:space="preserve"> studies don’t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technology.  Generally, academic research related to technology transfer seems to </w:t>
      </w:r>
      <w:r w:rsidR="009C2122">
        <w:rPr>
          <w:rFonts w:ascii="Times New Roman" w:hAnsi="Times New Roman" w:cs="Times New Roman"/>
          <w:sz w:val="24"/>
          <w:szCs w:val="24"/>
        </w:rPr>
        <w:t>conceive of</w:t>
      </w:r>
      <w:r w:rsidR="008E6D11" w:rsidRPr="008E6D11">
        <w:rPr>
          <w:rFonts w:ascii="Times New Roman" w:hAnsi="Times New Roman" w:cs="Times New Roman"/>
          <w:sz w:val="24"/>
          <w:szCs w:val="24"/>
        </w:rPr>
        <w:t xml:space="preserve"> a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Gianiodis</w:t>
      </w:r>
      <w:proofErr w:type="spellEnd"/>
      <w:r w:rsidR="008E6D11" w:rsidRPr="008E6D11">
        <w:rPr>
          <w:rFonts w:ascii="Times New Roman" w:hAnsi="Times New Roman" w:cs="Times New Roman"/>
          <w:sz w:val="24"/>
          <w:szCs w:val="24"/>
        </w:rPr>
        <w:t xml:space="preserve"> &amp; Phan, 2005).  However, this fails to recognize that patentable subject matter is defined by law, which varies from country to country, and is not a universal phenomenon.  As such, not all technology is patentable.  </w:t>
      </w:r>
      <w:r w:rsidR="009C2122">
        <w:rPr>
          <w:rFonts w:ascii="Times New Roman" w:hAnsi="Times New Roman" w:cs="Times New Roman"/>
          <w:sz w:val="24"/>
          <w:szCs w:val="24"/>
        </w:rPr>
        <w:t xml:space="preserve">Moreover, what is patentable may not necessarily constitute a technology.  </w:t>
      </w:r>
      <w:r w:rsidR="008E6D11" w:rsidRPr="008E6D11">
        <w:rPr>
          <w:rFonts w:ascii="Times New Roman" w:hAnsi="Times New Roman" w:cs="Times New Roman"/>
          <w:sz w:val="24"/>
          <w:szCs w:val="24"/>
        </w:rPr>
        <w:t>Some studies seem to broaden the idea of technology to include academic knowledge (Gonzalez-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C61036">
        <w:rPr>
          <w:rFonts w:ascii="Times New Roman" w:hAnsi="Times New Roman" w:cs="Times New Roman"/>
          <w:sz w:val="24"/>
          <w:szCs w:val="24"/>
        </w:rPr>
        <w:t xml:space="preserve">This seems to recognize that technology is not the only benefit that is derived from research and development. </w:t>
      </w:r>
      <w:r w:rsidR="008E6D11" w:rsidRPr="008E6D11">
        <w:rPr>
          <w:rFonts w:ascii="Times New Roman" w:hAnsi="Times New Roman" w:cs="Times New Roman"/>
          <w:sz w:val="24"/>
          <w:szCs w:val="24"/>
        </w:rPr>
        <w:t xml:space="preserve">However, an argument can be made that academic knowledge and technology are not </w:t>
      </w:r>
      <w:r w:rsidR="00C61036">
        <w:rPr>
          <w:rFonts w:ascii="Times New Roman" w:hAnsi="Times New Roman" w:cs="Times New Roman"/>
          <w:sz w:val="24"/>
          <w:szCs w:val="24"/>
        </w:rPr>
        <w:t xml:space="preserve">necessarily </w:t>
      </w:r>
      <w:r w:rsidR="008E6D11" w:rsidRPr="008E6D11">
        <w:rPr>
          <w:rFonts w:ascii="Times New Roman" w:hAnsi="Times New Roman" w:cs="Times New Roman"/>
          <w:sz w:val="24"/>
          <w:szCs w:val="24"/>
        </w:rPr>
        <w:t>synonymous.</w:t>
      </w:r>
    </w:p>
    <w:p w:rsidR="00A07262" w:rsidRDefault="00A07262" w:rsidP="00A07262">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lastRenderedPageBreak/>
        <w:t>Defining success in the context of technology transfer has been problematic for scholarly studies of the subject.  Most research studies seem to select indicators and measures more for convenience rather than to maximize construct validity.  Executed patent licenses, established new business entities, and executed sponsored research agreements have all been used as proxies for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all financially-based definitions of success.  </w:t>
      </w:r>
      <w:r w:rsidR="003E1969">
        <w:rPr>
          <w:rFonts w:ascii="Times New Roman" w:hAnsi="Times New Roman" w:cs="Times New Roman"/>
          <w:sz w:val="24"/>
          <w:szCs w:val="24"/>
        </w:rPr>
        <w:t>Additionally</w:t>
      </w:r>
      <w:r w:rsidRPr="00A07262">
        <w:rPr>
          <w:rFonts w:ascii="Times New Roman" w:hAnsi="Times New Roman" w:cs="Times New Roman"/>
          <w:sz w:val="24"/>
          <w:szCs w:val="24"/>
        </w:rPr>
        <w:t xml:space="preserve">, there is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activities depending on how these measures are used.  For example, a patent license is often associated with the formation of a university spinout company (i.e., new business venture to commercialize technology developed at a university).  In such situations, using both measures would essentially double count a single instance of technology transfer.  Sponsored research may not be related to technology previously developed at the university</w:t>
      </w:r>
      <w:r w:rsidR="003E1969">
        <w:rPr>
          <w:rFonts w:ascii="Times New Roman" w:hAnsi="Times New Roman" w:cs="Times New Roman"/>
          <w:sz w:val="24"/>
          <w:szCs w:val="24"/>
        </w:rPr>
        <w:t xml:space="preserve"> from federally-fund research</w:t>
      </w:r>
      <w:r w:rsidRPr="00A07262">
        <w:rPr>
          <w:rFonts w:ascii="Times New Roman" w:hAnsi="Times New Roman" w:cs="Times New Roman"/>
          <w:sz w:val="24"/>
          <w:szCs w:val="24"/>
        </w:rPr>
        <w:t>.  As such, it may be misleading to consider all sponsored research as instances of successful technology transfer.  Additionally, these measures of technology transfer don’t accomm</w:t>
      </w:r>
      <w:r w:rsidR="003E1969">
        <w:rPr>
          <w:rFonts w:ascii="Times New Roman" w:hAnsi="Times New Roman" w:cs="Times New Roman"/>
          <w:sz w:val="24"/>
          <w:szCs w:val="24"/>
        </w:rPr>
        <w:t>odate instances that are not financially-based exchanges</w:t>
      </w:r>
      <w:r w:rsidRPr="00A07262">
        <w:rPr>
          <w:rFonts w:ascii="Times New Roman" w:hAnsi="Times New Roman" w:cs="Times New Roman"/>
          <w:sz w:val="24"/>
          <w:szCs w:val="24"/>
        </w:rPr>
        <w:t>.  Theoretically, technology transfer can occur in the absence of a financial transaction.</w:t>
      </w:r>
    </w:p>
    <w:p w:rsidR="003E0BF0" w:rsidRDefault="00176833"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studies have used allowed patents as a measure of technology transfer success.</w:t>
      </w:r>
      <w:r w:rsidR="003E6CE7">
        <w:rPr>
          <w:rFonts w:ascii="Times New Roman" w:hAnsi="Times New Roman" w:cs="Times New Roman"/>
          <w:sz w:val="24"/>
          <w:szCs w:val="24"/>
        </w:rPr>
        <w:t xml:space="preserve">  However, just because a patent is allowed doesn’t mean that it is used to benefit society.</w:t>
      </w:r>
      <w:r w:rsidR="003E0BF0" w:rsidRPr="003E0BF0">
        <w:rPr>
          <w:rFonts w:ascii="Times New Roman" w:hAnsi="Times New Roman" w:cs="Times New Roman"/>
          <w:sz w:val="24"/>
          <w:szCs w:val="24"/>
        </w:rPr>
        <w:t xml:space="preserve"> </w:t>
      </w:r>
    </w:p>
    <w:p w:rsidR="00176833" w:rsidRPr="00A07262" w:rsidRDefault="003E0BF0" w:rsidP="00A07262">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(2013) </w:t>
      </w:r>
      <w:r w:rsidR="00CF721C">
        <w:rPr>
          <w:rFonts w:ascii="Times New Roman" w:hAnsi="Times New Roman" w:cs="Times New Roman"/>
          <w:sz w:val="24"/>
          <w:szCs w:val="24"/>
        </w:rPr>
        <w:t xml:space="preserve">specifically </w:t>
      </w:r>
      <w:r>
        <w:rPr>
          <w:rFonts w:ascii="Times New Roman" w:hAnsi="Times New Roman" w:cs="Times New Roman"/>
          <w:sz w:val="24"/>
          <w:szCs w:val="24"/>
        </w:rPr>
        <w:t xml:space="preserve">studied the citation frequency of patents using several types of regression analysis including multiple linear, logistic, and binomial.  </w:t>
      </w:r>
      <w:proofErr w:type="spellStart"/>
      <w:r>
        <w:rPr>
          <w:rFonts w:ascii="Times New Roman" w:hAnsi="Times New Roman" w:cs="Times New Roman"/>
          <w:sz w:val="24"/>
          <w:szCs w:val="24"/>
        </w:rPr>
        <w:t>Yoshikane</w:t>
      </w:r>
      <w:proofErr w:type="spellEnd"/>
      <w:r>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Pr>
          <w:rFonts w:ascii="Times New Roman" w:hAnsi="Times New Roman" w:cs="Times New Roman"/>
          <w:sz w:val="24"/>
          <w:szCs w:val="24"/>
        </w:rPr>
        <w:t xml:space="preserve"> associated with citation frequency.</w:t>
      </w:r>
    </w:p>
    <w:p w:rsidR="00B13DC9" w:rsidRDefault="00176833" w:rsidP="00D47073">
      <w:pPr>
        <w:spacing w:after="0"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lastRenderedPageBreak/>
        <w:t>Various</w:t>
      </w:r>
      <w:r w:rsidR="006603D4">
        <w:rPr>
          <w:rFonts w:ascii="Times New Roman" w:hAnsi="Times New Roman" w:cs="Times New Roman"/>
          <w:sz w:val="24"/>
          <w:szCs w:val="24"/>
        </w:rPr>
        <w:t xml:space="preserve"> regression analysis methods</w:t>
      </w:r>
      <w:r>
        <w:rPr>
          <w:rFonts w:ascii="Times New Roman" w:hAnsi="Times New Roman" w:cs="Times New Roman"/>
          <w:sz w:val="24"/>
          <w:szCs w:val="24"/>
        </w:rPr>
        <w:t xml:space="preserve"> have been used to understand and explain the technology transfer process.  </w:t>
      </w:r>
      <w:r w:rsidR="002A0CBE">
        <w:rPr>
          <w:rFonts w:ascii="Times New Roman" w:hAnsi="Times New Roman" w:cs="Times New Roman"/>
          <w:sz w:val="24"/>
          <w:szCs w:val="24"/>
        </w:rPr>
        <w:t xml:space="preserve">These studies suggest that regression analysis is a useful method for gaining insight into the factors associated with technology transfer success.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C80754">
        <w:rPr>
          <w:rFonts w:ascii="Times New Roman" w:hAnsi="Times New Roman" w:cs="Times New Roman"/>
          <w:sz w:val="24"/>
          <w:szCs w:val="24"/>
        </w:rPr>
        <w:t xml:space="preserve"> regression analyses to study patent citation data</w:t>
      </w:r>
      <w:r w:rsidR="00C80754" w:rsidRPr="00C80754">
        <w:rPr>
          <w:rFonts w:ascii="Times New Roman" w:hAnsi="Times New Roman" w:cs="Times New Roman"/>
          <w:sz w:val="24"/>
          <w:szCs w:val="24"/>
        </w:rPr>
        <w:t xml:space="preserve">.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(2013) used multinomial logistic </w:t>
      </w:r>
      <w:r w:rsidR="00D47073">
        <w:rPr>
          <w:rFonts w:ascii="Times New Roman" w:hAnsi="Times New Roman" w:cs="Times New Roman"/>
          <w:sz w:val="24"/>
          <w:szCs w:val="24"/>
        </w:rPr>
        <w:t>regression to understand</w:t>
      </w:r>
      <w:r w:rsidR="00362D86">
        <w:rPr>
          <w:rFonts w:ascii="Times New Roman" w:hAnsi="Times New Roman" w:cs="Times New Roman"/>
          <w:sz w:val="24"/>
          <w:szCs w:val="24"/>
        </w:rPr>
        <w:t xml:space="preserve"> how</w:t>
      </w:r>
      <w:r w:rsidR="00D47073">
        <w:rPr>
          <w:rFonts w:ascii="Times New Roman" w:hAnsi="Times New Roman" w:cs="Times New Roman"/>
          <w:sz w:val="24"/>
          <w:szCs w:val="24"/>
        </w:rPr>
        <w:t xml:space="preserve"> universities use technology transfer to disseminate research discoveries to biotechnology firms.</w:t>
      </w:r>
      <w:r w:rsidR="00362D86">
        <w:rPr>
          <w:rFonts w:ascii="Times New Roman" w:hAnsi="Times New Roman" w:cs="Times New Roman"/>
          <w:sz w:val="24"/>
          <w:szCs w:val="24"/>
        </w:rPr>
        <w:t xml:space="preserve"> </w:t>
      </w:r>
      <w:r w:rsidR="00D47073">
        <w:rPr>
          <w:rFonts w:ascii="Times New Roman" w:hAnsi="Times New Roman" w:cs="Times New Roman"/>
          <w:sz w:val="24"/>
          <w:szCs w:val="24"/>
        </w:rPr>
        <w:t xml:space="preserve"> The study found that </w:t>
      </w:r>
      <w:r w:rsidR="00362D86">
        <w:rPr>
          <w:rFonts w:ascii="Times New Roman" w:hAnsi="Times New Roman" w:cs="Times New Roman"/>
          <w:sz w:val="24"/>
          <w:szCs w:val="24"/>
        </w:rPr>
        <w:t xml:space="preserve">the innovativeness, </w:t>
      </w:r>
      <w:proofErr w:type="spellStart"/>
      <w:r w:rsidR="00362D86">
        <w:rPr>
          <w:rFonts w:ascii="Times New Roman" w:hAnsi="Times New Roman" w:cs="Times New Roman"/>
          <w:sz w:val="24"/>
          <w:szCs w:val="24"/>
        </w:rPr>
        <w:t>proactiveness</w:t>
      </w:r>
      <w:proofErr w:type="spellEnd"/>
      <w:r w:rsidR="00362D86">
        <w:rPr>
          <w:rFonts w:ascii="Times New Roman" w:hAnsi="Times New Roman" w:cs="Times New Roman"/>
          <w:sz w:val="24"/>
          <w:szCs w:val="24"/>
        </w:rPr>
        <w:t>, and risk taking propensity of biotechnology firms influence</w:t>
      </w:r>
      <w:r w:rsidR="00F94A92">
        <w:rPr>
          <w:rFonts w:ascii="Times New Roman" w:hAnsi="Times New Roman" w:cs="Times New Roman"/>
          <w:sz w:val="24"/>
          <w:szCs w:val="24"/>
        </w:rPr>
        <w:t>d</w:t>
      </w:r>
      <w:r w:rsidR="00362D86">
        <w:rPr>
          <w:rFonts w:ascii="Times New Roman" w:hAnsi="Times New Roman" w:cs="Times New Roman"/>
          <w:sz w:val="24"/>
          <w:szCs w:val="24"/>
        </w:rPr>
        <w:t xml:space="preserve"> their selection of technology transfer modes.  </w:t>
      </w:r>
      <w:proofErr w:type="spellStart"/>
      <w:r w:rsidR="00362D86">
        <w:rPr>
          <w:rFonts w:ascii="Times New Roman" w:hAnsi="Times New Roman" w:cs="Times New Roman"/>
          <w:sz w:val="24"/>
          <w:szCs w:val="24"/>
        </w:rPr>
        <w:t>Kirkman</w:t>
      </w:r>
      <w:proofErr w:type="spellEnd"/>
      <w:r w:rsidR="00362D86">
        <w:rPr>
          <w:rFonts w:ascii="Times New Roman" w:hAnsi="Times New Roman" w:cs="Times New Roman"/>
          <w:sz w:val="24"/>
          <w:szCs w:val="24"/>
        </w:rPr>
        <w:t xml:space="preserve"> specifically </w:t>
      </w:r>
      <w:r w:rsidR="00D47073">
        <w:rPr>
          <w:rFonts w:ascii="Times New Roman" w:hAnsi="Times New Roman" w:cs="Times New Roman"/>
          <w:sz w:val="24"/>
          <w:szCs w:val="24"/>
        </w:rPr>
        <w:t xml:space="preserve">limited the modes of technology transfer in the study to </w:t>
      </w:r>
      <w:r w:rsidR="00876656">
        <w:rPr>
          <w:rFonts w:ascii="Times New Roman" w:hAnsi="Times New Roman" w:cs="Times New Roman"/>
          <w:sz w:val="24"/>
          <w:szCs w:val="24"/>
        </w:rPr>
        <w:t>licensing, sponsored research, and consulting agreements</w:t>
      </w:r>
      <w:r w:rsidR="00B1423F">
        <w:rPr>
          <w:rFonts w:ascii="Times New Roman" w:hAnsi="Times New Roman" w:cs="Times New Roman"/>
          <w:sz w:val="24"/>
          <w:szCs w:val="24"/>
        </w:rPr>
        <w:t>,</w:t>
      </w:r>
      <w:r w:rsidR="00362D86">
        <w:rPr>
          <w:rFonts w:ascii="Times New Roman" w:hAnsi="Times New Roman" w:cs="Times New Roman"/>
          <w:sz w:val="24"/>
          <w:szCs w:val="24"/>
        </w:rPr>
        <w:t xml:space="preserve"> which are all </w:t>
      </w:r>
      <w:r w:rsidR="00876656">
        <w:rPr>
          <w:rFonts w:ascii="Times New Roman" w:hAnsi="Times New Roman" w:cs="Times New Roman"/>
          <w:sz w:val="24"/>
          <w:szCs w:val="24"/>
        </w:rPr>
        <w:t>financially-based exchanges.</w:t>
      </w:r>
    </w:p>
    <w:p w:rsidR="00A95B39"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Theoretical Perspective</w:t>
      </w:r>
    </w:p>
    <w:p w:rsidR="00FF5710" w:rsidRPr="00FF5710" w:rsidRDefault="00FF5710" w:rsidP="00FF5710">
      <w:pPr>
        <w:spacing w:after="0" w:line="480" w:lineRule="auto"/>
        <w:rPr>
          <w:rFonts w:ascii="Times New Roman" w:hAnsi="Times New Roman" w:cs="Times New Roman"/>
          <w:b/>
          <w:sz w:val="24"/>
          <w:szCs w:val="24"/>
        </w:rPr>
      </w:pPr>
      <w:r w:rsidRPr="00FF5710">
        <w:rPr>
          <w:rFonts w:ascii="Times New Roman" w:hAnsi="Times New Roman" w:cs="Times New Roman"/>
          <w:b/>
          <w:sz w:val="24"/>
          <w:szCs w:val="24"/>
        </w:rPr>
        <w:t>Research Questions</w:t>
      </w:r>
    </w:p>
    <w:p w:rsidR="001418B7" w:rsidRPr="001418B7" w:rsidRDefault="001418B7" w:rsidP="00FF5710">
      <w:pPr>
        <w:spacing w:after="0" w:line="480" w:lineRule="auto"/>
        <w:ind w:firstLine="720"/>
        <w:rPr>
          <w:rFonts w:ascii="Times New Roman" w:hAnsi="Times New Roman" w:cs="Times New Roman"/>
          <w:sz w:val="24"/>
          <w:szCs w:val="24"/>
        </w:rPr>
      </w:pPr>
      <w:r w:rsidRPr="001418B7">
        <w:rPr>
          <w:rFonts w:ascii="Times New Roman" w:hAnsi="Times New Roman" w:cs="Times New Roman"/>
          <w:sz w:val="24"/>
          <w:szCs w:val="24"/>
        </w:rPr>
        <w:t xml:space="preserve">There are several potential benefits to developing predictive models to better describe technology transfer processes and understand the factors associated with positive technology transfer outcomes.  Such knowledge would be useful for managing technological innovation and efficiently identifying high potential technologies for further development (Choi, Jang, Jun &amp; Park, 2015).  </w:t>
      </w:r>
    </w:p>
    <w:p w:rsidR="001418B7" w:rsidRPr="001418B7" w:rsidRDefault="001418B7" w:rsidP="001418B7">
      <w:pPr>
        <w:spacing w:after="0" w:line="480" w:lineRule="auto"/>
        <w:ind w:firstLine="720"/>
        <w:rPr>
          <w:rFonts w:ascii="Times New Roman" w:hAnsi="Times New Roman" w:cs="Times New Roman"/>
          <w:sz w:val="24"/>
          <w:szCs w:val="24"/>
        </w:rPr>
      </w:pPr>
      <w:r w:rsidRPr="001418B7">
        <w:rPr>
          <w:rFonts w:ascii="Times New Roman" w:hAnsi="Times New Roman" w:cs="Times New Roman"/>
          <w:sz w:val="24"/>
          <w:szCs w:val="24"/>
        </w:rPr>
        <w:lastRenderedPageBreak/>
        <w:t xml:space="preserve">However, there are important questions </w:t>
      </w:r>
      <w:r w:rsidR="00A60A48">
        <w:rPr>
          <w:rFonts w:ascii="Times New Roman" w:hAnsi="Times New Roman" w:cs="Times New Roman"/>
          <w:sz w:val="24"/>
          <w:szCs w:val="24"/>
        </w:rPr>
        <w:t>regarding</w:t>
      </w:r>
      <w:r w:rsidRPr="001418B7">
        <w:rPr>
          <w:rFonts w:ascii="Times New Roman" w:hAnsi="Times New Roman" w:cs="Times New Roman"/>
          <w:sz w:val="24"/>
          <w:szCs w:val="24"/>
        </w:rPr>
        <w:t xml:space="preserve"> technology transfer that remain unanswered or underexplored including (1) how technology transfer success should be defined, (2) how technology transfer outcomes should be measured, and (3) what are the drivers of desired technology transfer outcomes.</w:t>
      </w:r>
    </w:p>
    <w:p w:rsidR="001418B7" w:rsidRPr="001418B7" w:rsidRDefault="001418B7" w:rsidP="001418B7">
      <w:pPr>
        <w:spacing w:after="0" w:line="480" w:lineRule="auto"/>
        <w:ind w:firstLine="720"/>
        <w:rPr>
          <w:rFonts w:ascii="Times New Roman" w:hAnsi="Times New Roman" w:cs="Times New Roman"/>
          <w:sz w:val="24"/>
          <w:szCs w:val="24"/>
        </w:rPr>
      </w:pPr>
      <w:r w:rsidRPr="001418B7">
        <w:rPr>
          <w:rFonts w:ascii="Times New Roman" w:hAnsi="Times New Roman" w:cs="Times New Roman"/>
          <w:sz w:val="24"/>
          <w:szCs w:val="24"/>
        </w:rPr>
        <w:t>Most previous studies of the subject define technology transfer in terms of transactional outputs and outcomes such as the executing license agreements, securing sponsored research, or forming new business ventures.  This study, I seek to explore whether a non-transactional indication of knowledge transfer can be a useful measurement of technology transfer outputs and outcomes.  As with the previous analyses, I used patents issued by the United States Patent and Trademark Office (USPTO) as a proxy for units of technology and the number of citations a given U.S. patent receives from other U.S. patents as a measure of technology transfer.</w:t>
      </w:r>
    </w:p>
    <w:p w:rsidR="00A95B39" w:rsidRDefault="00231217" w:rsidP="001418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most other research conducted in this area conceptualize technology transfer as the transactional </w:t>
      </w:r>
      <w:r w:rsidR="00712F19">
        <w:rPr>
          <w:rFonts w:ascii="Times New Roman" w:hAnsi="Times New Roman" w:cs="Times New Roman"/>
          <w:sz w:val="24"/>
          <w:szCs w:val="24"/>
        </w:rPr>
        <w:t xml:space="preserve">exchange </w:t>
      </w:r>
      <w:r>
        <w:rPr>
          <w:rFonts w:ascii="Times New Roman" w:hAnsi="Times New Roman" w:cs="Times New Roman"/>
          <w:sz w:val="24"/>
          <w:szCs w:val="24"/>
        </w:rPr>
        <w:t>of legally recognized intellectual property through a formal license, I consider an alternative conceptualization of technology transfer as</w:t>
      </w:r>
      <w:r w:rsidR="00712F19">
        <w:rPr>
          <w:rFonts w:ascii="Times New Roman" w:hAnsi="Times New Roman" w:cs="Times New Roman"/>
          <w:sz w:val="24"/>
          <w:szCs w:val="24"/>
        </w:rPr>
        <w:t xml:space="preserve"> a non-transactional </w:t>
      </w:r>
      <w:r w:rsidR="00AD2CB2">
        <w:rPr>
          <w:rFonts w:ascii="Times New Roman" w:hAnsi="Times New Roman" w:cs="Times New Roman"/>
          <w:sz w:val="24"/>
          <w:szCs w:val="24"/>
        </w:rPr>
        <w:t>exchange of knowledge</w:t>
      </w:r>
      <w:r w:rsidR="009171D5">
        <w:rPr>
          <w:rFonts w:ascii="Times New Roman" w:hAnsi="Times New Roman" w:cs="Times New Roman"/>
          <w:sz w:val="24"/>
          <w:szCs w:val="24"/>
        </w:rPr>
        <w:t xml:space="preserve">.  To explore this conceptualization, I use patents as a proxy for technology and </w:t>
      </w:r>
      <w:r w:rsidR="00AD2CB2">
        <w:rPr>
          <w:rFonts w:ascii="Times New Roman" w:hAnsi="Times New Roman" w:cs="Times New Roman"/>
          <w:sz w:val="24"/>
          <w:szCs w:val="24"/>
        </w:rPr>
        <w:t>citation</w:t>
      </w:r>
      <w:r w:rsidR="009171D5">
        <w:rPr>
          <w:rFonts w:ascii="Times New Roman" w:hAnsi="Times New Roman" w:cs="Times New Roman"/>
          <w:sz w:val="24"/>
          <w:szCs w:val="24"/>
        </w:rPr>
        <w:t xml:space="preserve">s of one patent by </w:t>
      </w:r>
      <w:r w:rsidR="00AD2CB2">
        <w:rPr>
          <w:rFonts w:ascii="Times New Roman" w:hAnsi="Times New Roman" w:cs="Times New Roman"/>
          <w:sz w:val="24"/>
          <w:szCs w:val="24"/>
        </w:rPr>
        <w:t>other patent</w:t>
      </w:r>
      <w:r w:rsidR="009171D5">
        <w:rPr>
          <w:rFonts w:ascii="Times New Roman" w:hAnsi="Times New Roman" w:cs="Times New Roman"/>
          <w:sz w:val="24"/>
          <w:szCs w:val="24"/>
        </w:rPr>
        <w:t>s as an indication of technology transfer</w:t>
      </w:r>
      <w:r w:rsidR="00AD2CB2">
        <w:rPr>
          <w:rFonts w:ascii="Times New Roman" w:hAnsi="Times New Roman" w:cs="Times New Roman"/>
          <w:sz w:val="24"/>
          <w:szCs w:val="24"/>
        </w:rPr>
        <w:t>.</w:t>
      </w:r>
      <w:r w:rsidR="009171D5">
        <w:rPr>
          <w:rFonts w:ascii="Times New Roman" w:hAnsi="Times New Roman" w:cs="Times New Roman"/>
          <w:sz w:val="24"/>
          <w:szCs w:val="24"/>
        </w:rPr>
        <w:t xml:space="preserve">  Specifically, I investigate the following questions:</w:t>
      </w:r>
    </w:p>
    <w:p w:rsidR="009171D5" w:rsidRDefault="009171D5"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Can patents that receive more than the median number of citations be effectively </w:t>
      </w:r>
      <w:r w:rsidR="000C2A0E">
        <w:rPr>
          <w:rFonts w:ascii="Times New Roman" w:hAnsi="Times New Roman" w:cs="Times New Roman"/>
          <w:sz w:val="24"/>
          <w:szCs w:val="24"/>
        </w:rPr>
        <w:t>discriminated</w:t>
      </w:r>
      <w:r>
        <w:rPr>
          <w:rFonts w:ascii="Times New Roman" w:hAnsi="Times New Roman" w:cs="Times New Roman"/>
          <w:sz w:val="24"/>
          <w:szCs w:val="24"/>
        </w:rPr>
        <w:t xml:space="preserve"> from patents that</w:t>
      </w:r>
      <w:r w:rsidR="000C2A0E">
        <w:rPr>
          <w:rFonts w:ascii="Times New Roman" w:hAnsi="Times New Roman" w:cs="Times New Roman"/>
          <w:sz w:val="24"/>
          <w:szCs w:val="24"/>
        </w:rPr>
        <w:t xml:space="preserve"> receive</w:t>
      </w:r>
      <w:r>
        <w:rPr>
          <w:rFonts w:ascii="Times New Roman" w:hAnsi="Times New Roman" w:cs="Times New Roman"/>
          <w:sz w:val="24"/>
          <w:szCs w:val="24"/>
        </w:rPr>
        <w:t xml:space="preserve"> the median number of citations or less</w:t>
      </w:r>
      <w:r w:rsidR="000C2A0E">
        <w:rPr>
          <w:rFonts w:ascii="Times New Roman" w:hAnsi="Times New Roman" w:cs="Times New Roman"/>
          <w:sz w:val="24"/>
          <w:szCs w:val="24"/>
        </w:rPr>
        <w:t xml:space="preserve"> based on specific patent data variables</w:t>
      </w:r>
      <w:r>
        <w:rPr>
          <w:rFonts w:ascii="Times New Roman" w:hAnsi="Times New Roman" w:cs="Times New Roman"/>
          <w:sz w:val="24"/>
          <w:szCs w:val="24"/>
        </w:rPr>
        <w:t>?</w:t>
      </w:r>
    </w:p>
    <w:p w:rsidR="009171D5" w:rsidRDefault="006B104D"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Is there a significant </w:t>
      </w:r>
      <w:r w:rsidR="009171D5">
        <w:rPr>
          <w:rFonts w:ascii="Times New Roman" w:hAnsi="Times New Roman" w:cs="Times New Roman"/>
          <w:sz w:val="24"/>
          <w:szCs w:val="24"/>
        </w:rPr>
        <w:t xml:space="preserve">association between whether a patent receives more than the median number of citations </w:t>
      </w:r>
      <w:r>
        <w:rPr>
          <w:rFonts w:ascii="Times New Roman" w:hAnsi="Times New Roman" w:cs="Times New Roman"/>
          <w:sz w:val="24"/>
          <w:szCs w:val="24"/>
        </w:rPr>
        <w:t xml:space="preserve">received </w:t>
      </w:r>
      <w:r w:rsidR="009171D5">
        <w:rPr>
          <w:rFonts w:ascii="Times New Roman" w:hAnsi="Times New Roman" w:cs="Times New Roman"/>
          <w:sz w:val="24"/>
          <w:szCs w:val="24"/>
        </w:rPr>
        <w:t>by all patents with the year a patent was granted, the number of claims made by a patent, the originality of the patent, and the generality of the patent?</w:t>
      </w:r>
    </w:p>
    <w:p w:rsidR="00CC1A30" w:rsidRPr="00CC1A30" w:rsidRDefault="00CC1A30" w:rsidP="00CC1A30">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lastRenderedPageBreak/>
        <w:t>Based on previous analysis</w:t>
      </w:r>
      <w:r w:rsidR="001D6329">
        <w:rPr>
          <w:rFonts w:ascii="Times New Roman" w:hAnsi="Times New Roman" w:cs="Times New Roman"/>
          <w:sz w:val="24"/>
          <w:szCs w:val="24"/>
        </w:rPr>
        <w:t>,</w:t>
      </w:r>
      <w:r>
        <w:rPr>
          <w:rFonts w:ascii="Times New Roman" w:hAnsi="Times New Roman" w:cs="Times New Roman"/>
          <w:sz w:val="24"/>
          <w:szCs w:val="24"/>
        </w:rPr>
        <w:t xml:space="preserve"> I theorize that the number of claims made by a patent and the generality of the patent will both have a positive association with the probability that a patent receives more than </w:t>
      </w:r>
      <w:r w:rsidR="005F5941">
        <w:rPr>
          <w:rFonts w:ascii="Times New Roman" w:hAnsi="Times New Roman" w:cs="Times New Roman"/>
          <w:sz w:val="24"/>
          <w:szCs w:val="24"/>
        </w:rPr>
        <w:t xml:space="preserve">the median number of </w:t>
      </w:r>
      <w:r>
        <w:rPr>
          <w:rFonts w:ascii="Times New Roman" w:hAnsi="Times New Roman" w:cs="Times New Roman"/>
          <w:sz w:val="24"/>
          <w:szCs w:val="24"/>
        </w:rPr>
        <w:t xml:space="preserve">citations.  Moreover, I anticipate that the association for the number of claims made by a patent will be slight.  While the number of claims made by a patent will have a positive association, more claims does not create significantly more opportunities for that patent to be cited because a significant portion of the claims of a patent are </w:t>
      </w:r>
      <w:r w:rsidR="00C27E3C">
        <w:rPr>
          <w:rFonts w:ascii="Times New Roman" w:hAnsi="Times New Roman" w:cs="Times New Roman"/>
          <w:sz w:val="24"/>
          <w:szCs w:val="24"/>
        </w:rPr>
        <w:t xml:space="preserve">often </w:t>
      </w:r>
      <w:r>
        <w:rPr>
          <w:rFonts w:ascii="Times New Roman" w:hAnsi="Times New Roman" w:cs="Times New Roman"/>
          <w:sz w:val="24"/>
          <w:szCs w:val="24"/>
        </w:rPr>
        <w:t xml:space="preserve">dependent claims, which means that they are dependent on other claims in the patent.  I suspect that the more general a patent, the more opportunities it has to be cited by other </w:t>
      </w:r>
      <w:r w:rsidR="00435D1E">
        <w:rPr>
          <w:rFonts w:ascii="Times New Roman" w:hAnsi="Times New Roman" w:cs="Times New Roman"/>
          <w:sz w:val="24"/>
          <w:szCs w:val="24"/>
        </w:rPr>
        <w:t xml:space="preserve">patents </w:t>
      </w:r>
      <w:r>
        <w:rPr>
          <w:rFonts w:ascii="Times New Roman" w:hAnsi="Times New Roman" w:cs="Times New Roman"/>
          <w:sz w:val="24"/>
          <w:szCs w:val="24"/>
        </w:rPr>
        <w:t xml:space="preserve">across multiple fields.   I expect the year a patent was granted and the originality of the patent to be negatively associated with the probability that a patent receives more than </w:t>
      </w:r>
      <w:r w:rsidR="00435D1E">
        <w:rPr>
          <w:rFonts w:ascii="Times New Roman" w:hAnsi="Times New Roman" w:cs="Times New Roman"/>
          <w:sz w:val="24"/>
          <w:szCs w:val="24"/>
        </w:rPr>
        <w:t>the median number of</w:t>
      </w:r>
      <w:r>
        <w:rPr>
          <w:rFonts w:ascii="Times New Roman" w:hAnsi="Times New Roman" w:cs="Times New Roman"/>
          <w:sz w:val="24"/>
          <w:szCs w:val="24"/>
        </w:rPr>
        <w:t xml:space="preserve"> citations from other patents.</w:t>
      </w:r>
      <w:r w:rsidR="00DF028A">
        <w:rPr>
          <w:rFonts w:ascii="Times New Roman" w:hAnsi="Times New Roman" w:cs="Times New Roman"/>
          <w:sz w:val="24"/>
          <w:szCs w:val="24"/>
        </w:rPr>
        <w:t xml:space="preserve">  I suspect that the older a patent is the less relevant it becomes because of the half-life of knowledge.  Also, it’s possible that the more original a patent the more difficult it is for other inventors and innovators to </w:t>
      </w:r>
      <w:r w:rsidR="00AF3007">
        <w:rPr>
          <w:rFonts w:ascii="Times New Roman" w:hAnsi="Times New Roman" w:cs="Times New Roman"/>
          <w:sz w:val="24"/>
          <w:szCs w:val="24"/>
        </w:rPr>
        <w:t>conceive</w:t>
      </w:r>
      <w:r w:rsidR="00DF028A">
        <w:rPr>
          <w:rFonts w:ascii="Times New Roman" w:hAnsi="Times New Roman" w:cs="Times New Roman"/>
          <w:sz w:val="24"/>
          <w:szCs w:val="24"/>
        </w:rPr>
        <w:t xml:space="preserve"> applications of the technology in their fields. </w:t>
      </w:r>
    </w:p>
    <w:p w:rsidR="00BC5DF9" w:rsidRDefault="00E441F9" w:rsidP="00FF5710">
      <w:pPr>
        <w:spacing w:after="0" w:line="480" w:lineRule="auto"/>
        <w:rPr>
          <w:rFonts w:ascii="Times New Roman" w:hAnsi="Times New Roman" w:cs="Times New Roman"/>
          <w:b/>
          <w:sz w:val="24"/>
          <w:szCs w:val="24"/>
        </w:rPr>
      </w:pPr>
      <w:r>
        <w:rPr>
          <w:rFonts w:ascii="Times New Roman" w:hAnsi="Times New Roman" w:cs="Times New Roman"/>
          <w:b/>
          <w:sz w:val="24"/>
          <w:szCs w:val="24"/>
        </w:rPr>
        <w:t>Operationalization</w:t>
      </w:r>
      <w:r>
        <w:rPr>
          <w:rFonts w:ascii="Times New Roman" w:hAnsi="Times New Roman" w:cs="Times New Roman"/>
          <w:b/>
          <w:sz w:val="24"/>
          <w:szCs w:val="24"/>
        </w:rPr>
        <w:t xml:space="preserve"> of </w:t>
      </w:r>
      <w:r w:rsidR="00BC5DF9">
        <w:rPr>
          <w:rFonts w:ascii="Times New Roman" w:hAnsi="Times New Roman" w:cs="Times New Roman"/>
          <w:b/>
          <w:sz w:val="24"/>
          <w:szCs w:val="24"/>
        </w:rPr>
        <w:t>Key Constructs</w:t>
      </w:r>
    </w:p>
    <w:p w:rsidR="006108F2" w:rsidRDefault="00BC5DF9" w:rsidP="006108F2">
      <w:pPr>
        <w:spacing w:after="0" w:line="480" w:lineRule="auto"/>
        <w:ind w:firstLine="720"/>
        <w:rPr>
          <w:rFonts w:ascii="Times New Roman" w:hAnsi="Times New Roman" w:cs="Times New Roman"/>
          <w:b/>
          <w:sz w:val="24"/>
          <w:szCs w:val="24"/>
        </w:rPr>
      </w:pPr>
      <w:r w:rsidRPr="00BC5DF9">
        <w:rPr>
          <w:rFonts w:ascii="Times New Roman" w:hAnsi="Times New Roman" w:cs="Times New Roman"/>
          <w:sz w:val="24"/>
          <w:szCs w:val="24"/>
        </w:rPr>
        <w:t>While there is no official definition of technology transfer, I propose that it can be broadly conceived as the conveyance from one person or entity to another person or entity of a capability to perform a useful task, achieve a beneficial accomplishment, or reap the benefits thereof.</w:t>
      </w:r>
      <w:r w:rsidR="006108F2" w:rsidRPr="006108F2">
        <w:rPr>
          <w:rFonts w:ascii="Times New Roman" w:hAnsi="Times New Roman" w:cs="Times New Roman"/>
          <w:b/>
          <w:sz w:val="24"/>
          <w:szCs w:val="24"/>
        </w:rPr>
        <w:t xml:space="preserve"> </w:t>
      </w:r>
    </w:p>
    <w:p w:rsidR="00BC5DF9" w:rsidRPr="006108F2" w:rsidRDefault="006108F2" w:rsidP="006108F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This study uses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 xml:space="preserve">patent data obtained from the National Bureau of Economic Research (NBER) website.  The source data contains both original </w:t>
      </w:r>
      <w:r w:rsidRPr="00DA48A2">
        <w:rPr>
          <w:rFonts w:ascii="Times New Roman" w:hAnsi="Times New Roman" w:cs="Times New Roman"/>
          <w:sz w:val="24"/>
          <w:szCs w:val="24"/>
        </w:rPr>
        <w:lastRenderedPageBreak/>
        <w:t xml:space="preserve">and constructed variables.  The data file included all utility patents granted in the U.S. from January 1, 1963 to December 30, 1999 listed in the Technology Assessment and Forecast (TAF) database of the USPTO.  The source file contained data on 2,923,922 patents across 23 variables.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2 provides information about the source data constructed variables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GENERAL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forward citations lag.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backward citations lag.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w:t>
      </w:r>
      <w:r w:rsidRPr="00DA48A2">
        <w:rPr>
          <w:rFonts w:ascii="Times New Roman" w:hAnsi="Times New Roman" w:cs="Times New Roman"/>
          <w:sz w:val="24"/>
          <w:szCs w:val="24"/>
        </w:rPr>
        <w:lastRenderedPageBreak/>
        <w:t xml:space="preserve">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11638"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For this study, I only used the </w:t>
      </w:r>
      <w:r w:rsidRPr="00DA48A2">
        <w:rPr>
          <w:rFonts w:ascii="Courier New" w:hAnsi="Courier New" w:cs="Courier New"/>
          <w:sz w:val="24"/>
          <w:szCs w:val="24"/>
        </w:rPr>
        <w:t>GYEAR</w:t>
      </w:r>
      <w:r w:rsidRPr="00DA48A2">
        <w:rPr>
          <w:rFonts w:ascii="Times New Roman" w:hAnsi="Times New Roman" w:cs="Times New Roman"/>
          <w:sz w:val="24"/>
          <w:szCs w:val="24"/>
        </w:rPr>
        <w:t xml:space="preserv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w:t>
      </w:r>
      <w:r w:rsidRPr="00DA48A2">
        <w:rPr>
          <w:rFonts w:ascii="Courier New" w:hAnsi="Courier New" w:cs="Courier New"/>
          <w:sz w:val="24"/>
          <w:szCs w:val="24"/>
        </w:rPr>
        <w:t>GENERAL</w:t>
      </w:r>
      <w:r w:rsidRPr="00DA48A2">
        <w:rPr>
          <w:rFonts w:ascii="Times New Roman" w:hAnsi="Times New Roman" w:cs="Times New Roman"/>
          <w:sz w:val="24"/>
          <w:szCs w:val="24"/>
        </w:rPr>
        <w:t xml:space="preserve">, and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variables in the analysis.  Based on the resu</w:t>
      </w:r>
      <w:r w:rsidR="00F95DD2">
        <w:rPr>
          <w:rFonts w:ascii="Times New Roman" w:hAnsi="Times New Roman" w:cs="Times New Roman"/>
          <w:sz w:val="24"/>
          <w:szCs w:val="24"/>
        </w:rPr>
        <w:t xml:space="preserve">lts of </w:t>
      </w:r>
      <w:r w:rsidRPr="00DA48A2">
        <w:rPr>
          <w:rFonts w:ascii="Times New Roman" w:hAnsi="Times New Roman" w:cs="Times New Roman"/>
          <w:sz w:val="24"/>
          <w:szCs w:val="24"/>
        </w:rPr>
        <w:t xml:space="preserve">previous analyses, I made several modifications to the data and incorporated several previous observations into the </w:t>
      </w:r>
      <w:r w:rsidR="00F95DD2">
        <w:rPr>
          <w:rFonts w:ascii="Times New Roman" w:hAnsi="Times New Roman" w:cs="Times New Roman"/>
          <w:sz w:val="24"/>
          <w:szCs w:val="24"/>
        </w:rPr>
        <w:t>logistic regression</w:t>
      </w:r>
      <w:r w:rsidRPr="00DA48A2">
        <w:rPr>
          <w:rFonts w:ascii="Times New Roman" w:hAnsi="Times New Roman" w:cs="Times New Roman"/>
          <w:sz w:val="24"/>
          <w:szCs w:val="24"/>
        </w:rPr>
        <w:t xml:space="preserve"> model.  </w:t>
      </w:r>
    </w:p>
    <w:p w:rsidR="00DA48A2" w:rsidRDefault="00DA48A2" w:rsidP="00611638">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I removed the following variables because of high multicollinearity: </w:t>
      </w:r>
      <w:r w:rsidRPr="00DA48A2">
        <w:rPr>
          <w:rFonts w:ascii="Courier New" w:hAnsi="Courier New" w:cs="Courier New"/>
          <w:sz w:val="24"/>
          <w:szCs w:val="24"/>
        </w:rPr>
        <w:t>APPYEAR</w:t>
      </w:r>
      <w:r w:rsidRPr="00DA48A2">
        <w:rPr>
          <w:rFonts w:ascii="Times New Roman" w:hAnsi="Times New Roman" w:cs="Times New Roman"/>
          <w:sz w:val="24"/>
          <w:szCs w:val="24"/>
        </w:rPr>
        <w:t>,</w:t>
      </w:r>
      <w:r w:rsidRPr="00DA48A2">
        <w:rPr>
          <w:rFonts w:ascii="Courier New" w:hAnsi="Courier New" w:cs="Courier New"/>
          <w:sz w:val="24"/>
          <w:szCs w:val="24"/>
        </w:rPr>
        <w:t xml:space="preserve"> BCKGTLAG</w:t>
      </w:r>
      <w:r w:rsidRPr="00DA48A2">
        <w:rPr>
          <w:rFonts w:ascii="Times New Roman" w:hAnsi="Times New Roman" w:cs="Times New Roman"/>
          <w:sz w:val="24"/>
          <w:szCs w:val="24"/>
        </w:rPr>
        <w:t xml:space="preserve">,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and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 </w:t>
      </w:r>
      <w:r w:rsidR="00661871">
        <w:rPr>
          <w:rFonts w:ascii="Times New Roman" w:hAnsi="Times New Roman" w:cs="Times New Roman"/>
          <w:sz w:val="24"/>
          <w:szCs w:val="24"/>
        </w:rPr>
        <w:t xml:space="preserve">created a new variable called </w:t>
      </w:r>
      <w:r w:rsidRPr="00DA48A2">
        <w:rPr>
          <w:rFonts w:ascii="Courier New" w:hAnsi="Courier New" w:cs="Courier New"/>
          <w:sz w:val="24"/>
          <w:szCs w:val="24"/>
        </w:rPr>
        <w:t>CREC</w:t>
      </w:r>
      <w:r w:rsidR="006D4A47">
        <w:rPr>
          <w:rFonts w:ascii="Courier New" w:hAnsi="Courier New" w:cs="Courier New"/>
          <w:sz w:val="24"/>
          <w:szCs w:val="24"/>
        </w:rPr>
        <w:t>BINARY</w:t>
      </w:r>
      <w:r w:rsidR="0028689B">
        <w:rPr>
          <w:rFonts w:ascii="Times New Roman" w:hAnsi="Times New Roman" w:cs="Times New Roman"/>
          <w:sz w:val="24"/>
          <w:szCs w:val="24"/>
        </w:rPr>
        <w:t xml:space="preserve">, which </w:t>
      </w:r>
      <w:r w:rsidR="0028689B" w:rsidRPr="00DA48A2">
        <w:rPr>
          <w:rFonts w:ascii="Times New Roman" w:hAnsi="Times New Roman" w:cs="Times New Roman"/>
          <w:sz w:val="24"/>
          <w:szCs w:val="24"/>
        </w:rPr>
        <w:t>I used as the dependent variable (DV) of interest in the analysis.</w:t>
      </w:r>
      <w:r w:rsidR="0028689B">
        <w:rPr>
          <w:rFonts w:ascii="Times New Roman" w:hAnsi="Times New Roman" w:cs="Times New Roman"/>
          <w:sz w:val="24"/>
          <w:szCs w:val="24"/>
        </w:rPr>
        <w:t xml:space="preserve">  I created the </w:t>
      </w:r>
      <w:r w:rsidR="0028689B" w:rsidRPr="0028689B">
        <w:rPr>
          <w:rFonts w:ascii="Courier New" w:hAnsi="Courier New" w:cs="Courier New"/>
          <w:sz w:val="24"/>
          <w:szCs w:val="24"/>
        </w:rPr>
        <w:t>CRECBINARY</w:t>
      </w:r>
      <w:r w:rsidR="0028689B">
        <w:rPr>
          <w:rFonts w:ascii="Times New Roman" w:hAnsi="Times New Roman" w:cs="Times New Roman"/>
          <w:sz w:val="24"/>
          <w:szCs w:val="24"/>
        </w:rPr>
        <w:t xml:space="preserve"> variable </w:t>
      </w:r>
      <w:r w:rsidRPr="00DA48A2">
        <w:rPr>
          <w:rFonts w:ascii="Times New Roman" w:hAnsi="Times New Roman" w:cs="Times New Roman"/>
          <w:sz w:val="24"/>
          <w:szCs w:val="24"/>
        </w:rPr>
        <w:t xml:space="preserve">using the </w:t>
      </w:r>
      <w:r w:rsidRPr="00DA48A2">
        <w:rPr>
          <w:rFonts w:ascii="Courier New" w:hAnsi="Courier New" w:cs="Courier New"/>
          <w:sz w:val="24"/>
          <w:szCs w:val="24"/>
        </w:rPr>
        <w:t xml:space="preserve">Transform &gt; </w:t>
      </w:r>
      <w:r w:rsidR="00465009">
        <w:rPr>
          <w:rFonts w:ascii="Courier New" w:hAnsi="Courier New" w:cs="Courier New"/>
          <w:sz w:val="24"/>
          <w:szCs w:val="24"/>
        </w:rPr>
        <w:t>Recode into Different Variables</w:t>
      </w:r>
      <w:r w:rsidRPr="00DA48A2">
        <w:rPr>
          <w:rFonts w:ascii="Times New Roman" w:hAnsi="Times New Roman" w:cs="Times New Roman"/>
          <w:sz w:val="24"/>
          <w:szCs w:val="24"/>
        </w:rPr>
        <w:t xml:space="preserve"> function of </w:t>
      </w:r>
      <w:r w:rsidR="00B108C4">
        <w:rPr>
          <w:rFonts w:ascii="Courier New" w:hAnsi="Courier New" w:cs="Courier New"/>
          <w:sz w:val="24"/>
          <w:szCs w:val="24"/>
        </w:rPr>
        <w:t>IBM S</w:t>
      </w:r>
      <w:r w:rsidRPr="00DA48A2">
        <w:rPr>
          <w:rFonts w:ascii="Courier New" w:hAnsi="Courier New" w:cs="Courier New"/>
          <w:sz w:val="24"/>
          <w:szCs w:val="24"/>
        </w:rPr>
        <w:t>PSS Statistics 25</w:t>
      </w:r>
      <w:r w:rsidRPr="00DA48A2">
        <w:rPr>
          <w:rFonts w:ascii="Times New Roman" w:hAnsi="Times New Roman" w:cs="Times New Roman"/>
          <w:sz w:val="24"/>
          <w:szCs w:val="24"/>
        </w:rPr>
        <w:t xml:space="preserve">.  The </w:t>
      </w:r>
      <w:r w:rsidRPr="00DA48A2">
        <w:rPr>
          <w:rFonts w:ascii="Courier New" w:hAnsi="Courier New" w:cs="Courier New"/>
          <w:sz w:val="24"/>
          <w:szCs w:val="24"/>
        </w:rPr>
        <w:t>CREC</w:t>
      </w:r>
      <w:r w:rsidR="00465009">
        <w:rPr>
          <w:rFonts w:ascii="Courier New" w:hAnsi="Courier New" w:cs="Courier New"/>
          <w:sz w:val="24"/>
          <w:szCs w:val="24"/>
        </w:rPr>
        <w:t>BINARY</w:t>
      </w:r>
      <w:r w:rsidRPr="00DA48A2">
        <w:rPr>
          <w:rFonts w:ascii="Times New Roman" w:hAnsi="Times New Roman" w:cs="Times New Roman"/>
          <w:sz w:val="24"/>
          <w:szCs w:val="24"/>
        </w:rPr>
        <w:t xml:space="preserve"> variable is </w:t>
      </w:r>
      <w:r w:rsidR="00465009">
        <w:rPr>
          <w:rFonts w:ascii="Times New Roman" w:hAnsi="Times New Roman" w:cs="Times New Roman"/>
          <w:sz w:val="24"/>
          <w:szCs w:val="24"/>
        </w:rPr>
        <w:t xml:space="preserve">a dichotomous variable calculated from </w:t>
      </w:r>
      <w:r w:rsidRPr="00DA48A2">
        <w:rPr>
          <w:rFonts w:ascii="Times New Roman" w:hAnsi="Times New Roman" w:cs="Times New Roman"/>
          <w:sz w:val="24"/>
          <w:szCs w:val="24"/>
        </w:rPr>
        <w:t xml:space="preserve">the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The median of the </w:t>
      </w:r>
      <w:r w:rsidR="00465009" w:rsidRPr="00465009">
        <w:rPr>
          <w:rFonts w:ascii="Courier New" w:hAnsi="Courier New" w:cs="Courier New"/>
          <w:sz w:val="24"/>
          <w:szCs w:val="24"/>
        </w:rPr>
        <w:t>CRECEIVE</w:t>
      </w:r>
      <w:r w:rsidR="00465009">
        <w:rPr>
          <w:rFonts w:ascii="Times New Roman" w:hAnsi="Times New Roman" w:cs="Times New Roman"/>
          <w:sz w:val="24"/>
          <w:szCs w:val="24"/>
        </w:rPr>
        <w:t xml:space="preserve"> data was 2 citations received</w:t>
      </w:r>
      <w:r w:rsidR="00593778">
        <w:rPr>
          <w:rFonts w:ascii="Times New Roman" w:hAnsi="Times New Roman" w:cs="Times New Roman"/>
          <w:sz w:val="24"/>
          <w:szCs w:val="24"/>
        </w:rPr>
        <w:t>.  I coded cases</w:t>
      </w:r>
      <w:r w:rsidR="00095EE1">
        <w:rPr>
          <w:rFonts w:ascii="Times New Roman" w:hAnsi="Times New Roman" w:cs="Times New Roman"/>
          <w:sz w:val="24"/>
          <w:szCs w:val="24"/>
        </w:rPr>
        <w:t xml:space="preserve"> </w:t>
      </w:r>
      <w:r w:rsidR="0028689B">
        <w:rPr>
          <w:rFonts w:ascii="Times New Roman" w:hAnsi="Times New Roman" w:cs="Times New Roman"/>
          <w:sz w:val="24"/>
          <w:szCs w:val="24"/>
        </w:rPr>
        <w:t>that had 2 or fewer citations received</w:t>
      </w:r>
      <w:r w:rsidR="00095EE1">
        <w:rPr>
          <w:rFonts w:ascii="Times New Roman" w:hAnsi="Times New Roman" w:cs="Times New Roman"/>
          <w:sz w:val="24"/>
          <w:szCs w:val="24"/>
        </w:rPr>
        <w:t xml:space="preserve"> as 1.  I coded </w:t>
      </w:r>
      <w:r w:rsidR="00465009">
        <w:rPr>
          <w:rFonts w:ascii="Times New Roman" w:hAnsi="Times New Roman" w:cs="Times New Roman"/>
          <w:sz w:val="24"/>
          <w:szCs w:val="24"/>
        </w:rPr>
        <w:t xml:space="preserve">cases with 3 or more citations received as 2.  </w:t>
      </w:r>
      <w:r w:rsidR="00095EE1">
        <w:rPr>
          <w:rFonts w:ascii="Times New Roman" w:hAnsi="Times New Roman" w:cs="Times New Roman"/>
          <w:sz w:val="24"/>
          <w:szCs w:val="24"/>
        </w:rPr>
        <w:t xml:space="preserve">For the analysis, </w:t>
      </w:r>
      <w:r w:rsidR="00095EE1" w:rsidRPr="005B4CB5">
        <w:rPr>
          <w:rFonts w:ascii="Courier New" w:hAnsi="Courier New" w:cs="Courier New"/>
          <w:sz w:val="24"/>
          <w:szCs w:val="24"/>
        </w:rPr>
        <w:t>SPSS Statistics 25</w:t>
      </w:r>
      <w:r w:rsidR="00095EE1">
        <w:rPr>
          <w:rFonts w:ascii="Courier New" w:hAnsi="Courier New" w:cs="Courier New"/>
          <w:sz w:val="24"/>
          <w:szCs w:val="24"/>
        </w:rPr>
        <w:t xml:space="preserve"> </w:t>
      </w:r>
      <w:r w:rsidR="00095EE1">
        <w:rPr>
          <w:rFonts w:ascii="Times New Roman" w:hAnsi="Times New Roman" w:cs="Times New Roman"/>
          <w:sz w:val="24"/>
          <w:szCs w:val="24"/>
        </w:rPr>
        <w:t xml:space="preserve">internally coded </w:t>
      </w:r>
      <w:r w:rsidR="00095EE1" w:rsidRPr="00095EE1">
        <w:rPr>
          <w:rFonts w:ascii="Courier New" w:hAnsi="Courier New" w:cs="Courier New"/>
          <w:sz w:val="24"/>
          <w:szCs w:val="24"/>
        </w:rPr>
        <w:t>CRECBINARY</w:t>
      </w:r>
      <w:r w:rsidR="00095EE1">
        <w:rPr>
          <w:rFonts w:ascii="Times New Roman" w:hAnsi="Times New Roman" w:cs="Times New Roman"/>
          <w:sz w:val="24"/>
          <w:szCs w:val="24"/>
        </w:rPr>
        <w:t xml:space="preserve"> as 0 for case</w:t>
      </w:r>
      <w:r w:rsidR="0028689B">
        <w:rPr>
          <w:rFonts w:ascii="Times New Roman" w:hAnsi="Times New Roman" w:cs="Times New Roman"/>
          <w:sz w:val="24"/>
          <w:szCs w:val="24"/>
        </w:rPr>
        <w:t>s where the number of citations received was l</w:t>
      </w:r>
      <w:r w:rsidR="00095EE1">
        <w:rPr>
          <w:rFonts w:ascii="Times New Roman" w:hAnsi="Times New Roman" w:cs="Times New Roman"/>
          <w:sz w:val="24"/>
          <w:szCs w:val="24"/>
        </w:rPr>
        <w:t xml:space="preserve">ess than or equal to 2 and </w:t>
      </w:r>
      <w:r w:rsidR="0028689B">
        <w:rPr>
          <w:rFonts w:ascii="Times New Roman" w:hAnsi="Times New Roman" w:cs="Times New Roman"/>
          <w:sz w:val="24"/>
          <w:szCs w:val="24"/>
        </w:rPr>
        <w:t xml:space="preserve">as </w:t>
      </w:r>
      <w:r w:rsidR="00095EE1">
        <w:rPr>
          <w:rFonts w:ascii="Times New Roman" w:hAnsi="Times New Roman" w:cs="Times New Roman"/>
          <w:sz w:val="24"/>
          <w:szCs w:val="24"/>
        </w:rPr>
        <w:t xml:space="preserve">1 for cases with 3 or more citations received.  </w:t>
      </w:r>
      <w:r w:rsidR="000E4997">
        <w:rPr>
          <w:rFonts w:ascii="Times New Roman" w:hAnsi="Times New Roman" w:cs="Times New Roman"/>
          <w:sz w:val="24"/>
          <w:szCs w:val="24"/>
        </w:rPr>
        <w:t xml:space="preserve">  Table 3 lists the final variables that I used in the analysis.</w:t>
      </w:r>
      <w:r w:rsidR="00D34CAA">
        <w:rPr>
          <w:rFonts w:ascii="Times New Roman" w:hAnsi="Times New Roman" w:cs="Times New Roman"/>
          <w:sz w:val="24"/>
          <w:szCs w:val="24"/>
        </w:rPr>
        <w:t xml:space="preserve">  All of the IVs used in the analysis were</w:t>
      </w:r>
      <w:r w:rsidR="00834CA6">
        <w:rPr>
          <w:rFonts w:ascii="Times New Roman" w:hAnsi="Times New Roman" w:cs="Times New Roman"/>
          <w:sz w:val="24"/>
          <w:szCs w:val="24"/>
        </w:rPr>
        <w:t xml:space="preserve"> continuous</w:t>
      </w:r>
      <w:r w:rsidR="00D34CAA">
        <w:rPr>
          <w:rFonts w:ascii="Times New Roman" w:hAnsi="Times New Roman" w:cs="Times New Roman"/>
          <w:sz w:val="24"/>
          <w:szCs w:val="24"/>
        </w:rPr>
        <w:t xml:space="preserve"> interval</w:t>
      </w:r>
      <w:r w:rsidR="001D6329">
        <w:rPr>
          <w:rFonts w:ascii="Times New Roman" w:hAnsi="Times New Roman" w:cs="Times New Roman"/>
          <w:sz w:val="24"/>
          <w:szCs w:val="24"/>
        </w:rPr>
        <w:t xml:space="preserve"> or ratio</w:t>
      </w:r>
      <w:r w:rsidR="00D34CAA">
        <w:rPr>
          <w:rFonts w:ascii="Times New Roman" w:hAnsi="Times New Roman" w:cs="Times New Roman"/>
          <w:sz w:val="24"/>
          <w:szCs w:val="24"/>
        </w:rPr>
        <w:t xml:space="preserve"> variables.</w:t>
      </w:r>
    </w:p>
    <w:p w:rsidR="00250EC3" w:rsidRPr="0003023E" w:rsidRDefault="00250EC3" w:rsidP="006D4A47">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Results</w:t>
      </w:r>
      <w:r w:rsidR="009F3399" w:rsidRPr="009F3399">
        <w:rPr>
          <w:rFonts w:ascii="Times New Roman" w:hAnsi="Times New Roman" w:cs="Times New Roman"/>
          <w:b/>
          <w:sz w:val="24"/>
          <w:szCs w:val="24"/>
        </w:rPr>
        <w:t xml:space="preserve"> </w:t>
      </w:r>
      <w:r w:rsidR="009F3399">
        <w:rPr>
          <w:rFonts w:ascii="Times New Roman" w:hAnsi="Times New Roman" w:cs="Times New Roman"/>
          <w:b/>
          <w:sz w:val="24"/>
          <w:szCs w:val="24"/>
        </w:rPr>
        <w:t xml:space="preserve">and </w:t>
      </w:r>
      <w:r w:rsidR="009F3399">
        <w:rPr>
          <w:rFonts w:ascii="Times New Roman" w:hAnsi="Times New Roman" w:cs="Times New Roman"/>
          <w:b/>
          <w:sz w:val="24"/>
          <w:szCs w:val="24"/>
        </w:rPr>
        <w:t>Analysis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B3DE9">
        <w:rPr>
          <w:rFonts w:ascii="Times New Roman" w:hAnsi="Times New Roman" w:cs="Times New Roman"/>
          <w:sz w:val="24"/>
          <w:szCs w:val="24"/>
        </w:rPr>
        <w:t xml:space="preserve">I used </w:t>
      </w:r>
      <w:r w:rsidR="00EB3DE9" w:rsidRPr="006622AE">
        <w:rPr>
          <w:rFonts w:ascii="Courier New" w:hAnsi="Courier New" w:cs="Courier New"/>
          <w:sz w:val="24"/>
          <w:szCs w:val="24"/>
        </w:rPr>
        <w:t>IBM SPSS Statistics 25</w:t>
      </w:r>
      <w:r w:rsidR="00EB3DE9">
        <w:rPr>
          <w:rFonts w:ascii="Courier New" w:hAnsi="Courier New" w:cs="Courier New"/>
          <w:sz w:val="24"/>
          <w:szCs w:val="24"/>
        </w:rPr>
        <w:t xml:space="preserve"> </w:t>
      </w:r>
      <w:r w:rsidR="00EB3DE9">
        <w:rPr>
          <w:rFonts w:ascii="Times New Roman" w:hAnsi="Times New Roman" w:cs="Times New Roman"/>
          <w:sz w:val="24"/>
          <w:szCs w:val="24"/>
        </w:rPr>
        <w:t xml:space="preserve">to analyze the </w:t>
      </w:r>
      <w:r w:rsidR="00B53472">
        <w:rPr>
          <w:rFonts w:ascii="Times New Roman" w:hAnsi="Times New Roman" w:cs="Times New Roman"/>
          <w:sz w:val="24"/>
          <w:szCs w:val="24"/>
        </w:rPr>
        <w:t>data</w:t>
      </w:r>
      <w:r w:rsidR="00EB3DE9">
        <w:rPr>
          <w:rFonts w:ascii="Times New Roman" w:hAnsi="Times New Roman" w:cs="Times New Roman"/>
          <w:sz w:val="24"/>
          <w:szCs w:val="24"/>
        </w:rPr>
        <w:t xml:space="preserve">.  </w:t>
      </w:r>
      <w:r w:rsidR="00C853DF">
        <w:rPr>
          <w:rFonts w:ascii="Times New Roman" w:hAnsi="Times New Roman" w:cs="Times New Roman"/>
          <w:sz w:val="24"/>
          <w:szCs w:val="24"/>
        </w:rPr>
        <w:t xml:space="preserve">I used the </w:t>
      </w:r>
      <w:r w:rsidR="00C853DF" w:rsidRPr="006622AE">
        <w:rPr>
          <w:rFonts w:ascii="Courier New" w:hAnsi="Courier New" w:cs="Courier New"/>
          <w:sz w:val="24"/>
          <w:szCs w:val="24"/>
        </w:rPr>
        <w:t xml:space="preserve">Analyze &gt; Regression &gt; </w:t>
      </w:r>
      <w:r w:rsidR="00C853DF">
        <w:rPr>
          <w:rFonts w:ascii="Courier New" w:hAnsi="Courier New" w:cs="Courier New"/>
          <w:sz w:val="24"/>
          <w:szCs w:val="24"/>
        </w:rPr>
        <w:t>Binary Logistic</w:t>
      </w:r>
      <w:r w:rsidR="00C853DF" w:rsidRPr="006622AE">
        <w:rPr>
          <w:rFonts w:ascii="Courier New" w:hAnsi="Courier New" w:cs="Courier New"/>
          <w:sz w:val="24"/>
          <w:szCs w:val="24"/>
        </w:rPr>
        <w:t xml:space="preserve"> </w:t>
      </w:r>
      <w:r w:rsidR="00C853DF">
        <w:rPr>
          <w:rFonts w:ascii="Times New Roman" w:hAnsi="Times New Roman" w:cs="Times New Roman"/>
          <w:sz w:val="24"/>
          <w:szCs w:val="24"/>
        </w:rPr>
        <w:t>function to perform a bi</w:t>
      </w:r>
      <w:r w:rsidR="00B53472">
        <w:rPr>
          <w:rFonts w:ascii="Times New Roman" w:hAnsi="Times New Roman" w:cs="Times New Roman"/>
          <w:sz w:val="24"/>
          <w:szCs w:val="24"/>
        </w:rPr>
        <w:t>nary logistic regression analysi</w:t>
      </w:r>
      <w:r w:rsidR="00C853DF">
        <w:rPr>
          <w:rFonts w:ascii="Times New Roman" w:hAnsi="Times New Roman" w:cs="Times New Roman"/>
          <w:sz w:val="24"/>
          <w:szCs w:val="24"/>
        </w:rPr>
        <w:t xml:space="preserve">s using </w:t>
      </w:r>
      <w:r w:rsidR="00C853DF" w:rsidRPr="00C853DF">
        <w:rPr>
          <w:rFonts w:ascii="Courier New" w:hAnsi="Courier New" w:cs="Courier New"/>
          <w:sz w:val="24"/>
          <w:szCs w:val="24"/>
        </w:rPr>
        <w:t>CRECBINARY</w:t>
      </w:r>
      <w:r w:rsidR="00B53472">
        <w:rPr>
          <w:rFonts w:ascii="Times New Roman" w:hAnsi="Times New Roman" w:cs="Times New Roman"/>
          <w:sz w:val="24"/>
          <w:szCs w:val="24"/>
        </w:rPr>
        <w:t xml:space="preserve"> as</w:t>
      </w:r>
      <w:r w:rsidR="00C853DF">
        <w:rPr>
          <w:rFonts w:ascii="Times New Roman" w:hAnsi="Times New Roman" w:cs="Times New Roman"/>
          <w:sz w:val="24"/>
          <w:szCs w:val="24"/>
        </w:rPr>
        <w:t xml:space="preserve"> the DV and </w:t>
      </w:r>
      <w:r w:rsidR="00C853DF" w:rsidRPr="00C853DF">
        <w:rPr>
          <w:rFonts w:ascii="Courier New" w:hAnsi="Courier New" w:cs="Courier New"/>
          <w:sz w:val="24"/>
          <w:szCs w:val="24"/>
        </w:rPr>
        <w:t>CLAIMS</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GYEAR</w:t>
      </w:r>
      <w:r w:rsidR="00C853DF">
        <w:rPr>
          <w:rFonts w:ascii="Times New Roman" w:hAnsi="Times New Roman" w:cs="Times New Roman"/>
          <w:sz w:val="24"/>
          <w:szCs w:val="24"/>
        </w:rPr>
        <w:t xml:space="preserve">, </w:t>
      </w:r>
      <w:r w:rsidR="00C853DF" w:rsidRPr="00C853DF">
        <w:rPr>
          <w:rFonts w:ascii="Courier New" w:hAnsi="Courier New" w:cs="Courier New"/>
          <w:sz w:val="24"/>
          <w:szCs w:val="24"/>
        </w:rPr>
        <w:t>GENERAL</w:t>
      </w:r>
      <w:r w:rsidR="00C853DF">
        <w:rPr>
          <w:rFonts w:ascii="Times New Roman" w:hAnsi="Times New Roman" w:cs="Times New Roman"/>
          <w:sz w:val="24"/>
          <w:szCs w:val="24"/>
        </w:rPr>
        <w:t xml:space="preserve">, and </w:t>
      </w:r>
      <w:r w:rsidR="00C853DF" w:rsidRPr="00C853DF">
        <w:rPr>
          <w:rFonts w:ascii="Courier New" w:hAnsi="Courier New" w:cs="Courier New"/>
          <w:sz w:val="24"/>
          <w:szCs w:val="24"/>
        </w:rPr>
        <w:t>ORIGINAL</w:t>
      </w:r>
      <w:r w:rsidR="00C853DF">
        <w:rPr>
          <w:rFonts w:ascii="Times New Roman" w:hAnsi="Times New Roman" w:cs="Times New Roman"/>
          <w:sz w:val="24"/>
          <w:szCs w:val="24"/>
        </w:rPr>
        <w:t xml:space="preserve"> as the independent variables (IVs).  </w:t>
      </w:r>
      <w:r w:rsidR="00F8421B">
        <w:rPr>
          <w:rFonts w:ascii="Times New Roman" w:hAnsi="Times New Roman" w:cs="Times New Roman"/>
          <w:sz w:val="24"/>
          <w:szCs w:val="24"/>
        </w:rPr>
        <w:t xml:space="preserve">I used the Enter method for the regression.  </w:t>
      </w:r>
      <w:r w:rsidR="00043C5B">
        <w:rPr>
          <w:rFonts w:ascii="Times New Roman" w:hAnsi="Times New Roman" w:cs="Times New Roman"/>
          <w:sz w:val="24"/>
          <w:szCs w:val="24"/>
        </w:rPr>
        <w:t xml:space="preserve">For the </w:t>
      </w:r>
      <w:r w:rsidR="00043C5B" w:rsidRPr="00017234">
        <w:rPr>
          <w:rFonts w:ascii="Courier New" w:hAnsi="Courier New" w:cs="Courier New"/>
          <w:sz w:val="24"/>
          <w:szCs w:val="24"/>
        </w:rPr>
        <w:t xml:space="preserve">Logistic Regression </w:t>
      </w:r>
      <w:proofErr w:type="gramStart"/>
      <w:r w:rsidR="00043C5B" w:rsidRPr="00017234">
        <w:rPr>
          <w:rFonts w:ascii="Courier New" w:hAnsi="Courier New" w:cs="Courier New"/>
          <w:sz w:val="24"/>
          <w:szCs w:val="24"/>
        </w:rPr>
        <w:t>Options</w:t>
      </w:r>
      <w:proofErr w:type="gramEnd"/>
      <w:r w:rsidR="00043C5B">
        <w:rPr>
          <w:rFonts w:ascii="Times New Roman" w:hAnsi="Times New Roman" w:cs="Times New Roman"/>
          <w:sz w:val="24"/>
          <w:szCs w:val="24"/>
        </w:rPr>
        <w:t xml:space="preserve"> I selected Correlations of estimates, Hosmer-</w:t>
      </w:r>
      <w:proofErr w:type="spellStart"/>
      <w:r w:rsidR="00043C5B">
        <w:rPr>
          <w:rFonts w:ascii="Times New Roman" w:hAnsi="Times New Roman" w:cs="Times New Roman"/>
          <w:sz w:val="24"/>
          <w:szCs w:val="24"/>
        </w:rPr>
        <w:t>Lemeshow</w:t>
      </w:r>
      <w:proofErr w:type="spellEnd"/>
      <w:r w:rsidR="00043C5B">
        <w:rPr>
          <w:rFonts w:ascii="Times New Roman" w:hAnsi="Times New Roman" w:cs="Times New Roman"/>
          <w:sz w:val="24"/>
          <w:szCs w:val="24"/>
        </w:rPr>
        <w:t xml:space="preserve"> goodness-of-fit, Iteration history, and Confidence interval for </w:t>
      </w:r>
      <w:proofErr w:type="spellStart"/>
      <w:r w:rsidR="00043C5B">
        <w:rPr>
          <w:rFonts w:ascii="Times New Roman" w:hAnsi="Times New Roman" w:cs="Times New Roman"/>
          <w:sz w:val="24"/>
          <w:szCs w:val="24"/>
        </w:rPr>
        <w:t>exp</w:t>
      </w:r>
      <w:proofErr w:type="spellEnd"/>
      <w:r w:rsidR="00043C5B">
        <w:rPr>
          <w:rFonts w:ascii="Times New Roman" w:hAnsi="Times New Roman" w:cs="Times New Roman"/>
          <w:sz w:val="24"/>
          <w:szCs w:val="24"/>
        </w:rPr>
        <w:t xml:space="preserve">(B) of 95 percent.  I left the Classification cutoff at the 0.5 default, set the maximum iterations to 30, and included the constant in the model.   </w:t>
      </w:r>
      <w:r w:rsidR="00C30FC4">
        <w:rPr>
          <w:rFonts w:ascii="Times New Roman" w:hAnsi="Times New Roman" w:cs="Times New Roman"/>
          <w:sz w:val="24"/>
          <w:szCs w:val="24"/>
        </w:rPr>
        <w:t>The</w:t>
      </w:r>
      <w:r w:rsidR="00043C5B">
        <w:rPr>
          <w:rFonts w:ascii="Times New Roman" w:hAnsi="Times New Roman" w:cs="Times New Roman"/>
          <w:sz w:val="24"/>
          <w:szCs w:val="24"/>
        </w:rPr>
        <w:t xml:space="preserve"> </w:t>
      </w:r>
      <w:r w:rsidR="00C30FC4">
        <w:rPr>
          <w:rFonts w:ascii="Times New Roman" w:hAnsi="Times New Roman" w:cs="Times New Roman"/>
          <w:sz w:val="24"/>
          <w:szCs w:val="24"/>
        </w:rPr>
        <w:t>complete</w:t>
      </w:r>
      <w:r w:rsidR="00C30FC4">
        <w:rPr>
          <w:rFonts w:ascii="Courier New" w:hAnsi="Courier New" w:cs="Courier New"/>
          <w:sz w:val="24"/>
          <w:szCs w:val="24"/>
        </w:rPr>
        <w:t xml:space="preserve"> </w:t>
      </w:r>
      <w:r w:rsidR="00791766">
        <w:rPr>
          <w:rFonts w:ascii="Courier New" w:hAnsi="Courier New" w:cs="Courier New"/>
          <w:sz w:val="24"/>
          <w:szCs w:val="24"/>
        </w:rPr>
        <w:t xml:space="preserve">IBM </w:t>
      </w:r>
      <w:r w:rsidR="00C30FC4" w:rsidRPr="005B4CB5">
        <w:rPr>
          <w:rFonts w:ascii="Courier New" w:hAnsi="Courier New" w:cs="Courier New"/>
          <w:sz w:val="24"/>
          <w:szCs w:val="24"/>
        </w:rPr>
        <w:t>SPSS Statistics 25</w:t>
      </w:r>
      <w:r w:rsidR="00C30FC4">
        <w:rPr>
          <w:rFonts w:ascii="Times New Roman" w:hAnsi="Times New Roman" w:cs="Times New Roman"/>
          <w:sz w:val="24"/>
          <w:szCs w:val="24"/>
        </w:rPr>
        <w:t xml:space="preserve"> output file for the analysis is shown in Appendix A.</w:t>
      </w:r>
    </w:p>
    <w:p w:rsidR="005C3A1F" w:rsidRDefault="009A038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Table 1 shows details for the equation variables of the regression analysis.</w:t>
      </w:r>
      <w:r w:rsidR="00287689">
        <w:rPr>
          <w:rFonts w:ascii="Times New Roman" w:hAnsi="Times New Roman" w:cs="Times New Roman"/>
          <w:sz w:val="24"/>
          <w:szCs w:val="24"/>
        </w:rPr>
        <w:t xml:space="preserve">  All </w:t>
      </w:r>
      <w:r>
        <w:rPr>
          <w:rFonts w:ascii="Times New Roman" w:hAnsi="Times New Roman" w:cs="Times New Roman"/>
          <w:sz w:val="24"/>
          <w:szCs w:val="24"/>
        </w:rPr>
        <w:t xml:space="preserve">IVs were significant at the 0.05 level.  </w:t>
      </w:r>
      <w:r w:rsidR="009D2A67">
        <w:rPr>
          <w:rFonts w:ascii="Times New Roman" w:hAnsi="Times New Roman" w:cs="Times New Roman"/>
          <w:sz w:val="24"/>
          <w:szCs w:val="24"/>
        </w:rPr>
        <w:t xml:space="preserve">The </w:t>
      </w:r>
      <w:r w:rsidRPr="00287689">
        <w:rPr>
          <w:rFonts w:ascii="Courier New" w:hAnsi="Courier New" w:cs="Courier New"/>
          <w:sz w:val="24"/>
          <w:szCs w:val="24"/>
        </w:rPr>
        <w:t>CLAIMS</w:t>
      </w:r>
      <w:r>
        <w:rPr>
          <w:rFonts w:ascii="Times New Roman" w:hAnsi="Times New Roman" w:cs="Times New Roman"/>
          <w:sz w:val="24"/>
          <w:szCs w:val="24"/>
        </w:rPr>
        <w:t xml:space="preserv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GENERAL</w:t>
      </w:r>
      <w:r w:rsidR="00EE4231">
        <w:rPr>
          <w:rFonts w:ascii="Times New Roman" w:hAnsi="Times New Roman" w:cs="Times New Roman"/>
          <w:sz w:val="24"/>
          <w:szCs w:val="24"/>
        </w:rPr>
        <w:t xml:space="preserve"> </w:t>
      </w:r>
      <w:r w:rsidR="009D2A67">
        <w:rPr>
          <w:rFonts w:ascii="Times New Roman" w:hAnsi="Times New Roman" w:cs="Times New Roman"/>
          <w:sz w:val="24"/>
          <w:szCs w:val="24"/>
        </w:rPr>
        <w:t xml:space="preserve">variables </w:t>
      </w:r>
      <w:r w:rsidR="00EE4231">
        <w:rPr>
          <w:rFonts w:ascii="Times New Roman" w:hAnsi="Times New Roman" w:cs="Times New Roman"/>
          <w:sz w:val="24"/>
          <w:szCs w:val="24"/>
        </w:rPr>
        <w:t>were significant at the 0.001</w:t>
      </w:r>
      <w:r>
        <w:rPr>
          <w:rFonts w:ascii="Times New Roman" w:hAnsi="Times New Roman" w:cs="Times New Roman"/>
          <w:sz w:val="24"/>
          <w:szCs w:val="24"/>
        </w:rPr>
        <w:t xml:space="preserve"> level.</w:t>
      </w:r>
      <w:r w:rsidR="009D2A67">
        <w:rPr>
          <w:rFonts w:ascii="Times New Roman" w:hAnsi="Times New Roman" w:cs="Times New Roman"/>
          <w:sz w:val="24"/>
          <w:szCs w:val="24"/>
        </w:rPr>
        <w:t xml:space="preserve"> </w:t>
      </w:r>
    </w:p>
    <w:p w:rsidR="009D2A67" w:rsidRDefault="009D2A67" w:rsidP="009D2A6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287689">
        <w:rPr>
          <w:rFonts w:ascii="Courier New" w:hAnsi="Courier New" w:cs="Courier New"/>
          <w:sz w:val="24"/>
          <w:szCs w:val="24"/>
        </w:rPr>
        <w:t>GYEAR</w:t>
      </w:r>
      <w:r>
        <w:rPr>
          <w:rFonts w:ascii="Times New Roman" w:hAnsi="Times New Roman" w:cs="Times New Roman"/>
          <w:sz w:val="24"/>
          <w:szCs w:val="24"/>
        </w:rPr>
        <w:t xml:space="preserve"> and </w:t>
      </w:r>
      <w:r w:rsidRPr="00287689">
        <w:rPr>
          <w:rFonts w:ascii="Courier New" w:hAnsi="Courier New" w:cs="Courier New"/>
          <w:sz w:val="24"/>
          <w:szCs w:val="24"/>
        </w:rPr>
        <w:t>ORIGINAL</w:t>
      </w:r>
      <w:r>
        <w:rPr>
          <w:rFonts w:ascii="Times New Roman" w:hAnsi="Times New Roman" w:cs="Times New Roman"/>
          <w:sz w:val="24"/>
          <w:szCs w:val="24"/>
        </w:rPr>
        <w:t xml:space="preserve"> variables were negatively associated with the DV</w:t>
      </w:r>
      <w:r w:rsidR="00CA20D7">
        <w:rPr>
          <w:rFonts w:ascii="Times New Roman" w:hAnsi="Times New Roman" w:cs="Times New Roman"/>
          <w:sz w:val="24"/>
          <w:szCs w:val="24"/>
        </w:rPr>
        <w:t xml:space="preserve"> as expected</w:t>
      </w:r>
      <w:r>
        <w:rPr>
          <w:rFonts w:ascii="Times New Roman" w:hAnsi="Times New Roman" w:cs="Times New Roman"/>
          <w:sz w:val="24"/>
          <w:szCs w:val="24"/>
        </w:rPr>
        <w:t xml:space="preserve">.  Increases in these two variables were associated with a reduced probability that the patent received more than 2 citations from other patents.  The </w:t>
      </w:r>
      <w:r w:rsidRPr="00287689">
        <w:rPr>
          <w:rFonts w:ascii="Courier New" w:hAnsi="Courier New" w:cs="Courier New"/>
          <w:sz w:val="24"/>
          <w:szCs w:val="24"/>
        </w:rPr>
        <w:t>GENERAL</w:t>
      </w:r>
      <w:r>
        <w:rPr>
          <w:rFonts w:ascii="Times New Roman" w:hAnsi="Times New Roman" w:cs="Times New Roman"/>
          <w:sz w:val="24"/>
          <w:szCs w:val="24"/>
        </w:rPr>
        <w:t xml:space="preserve"> variable had the strongest ass</w:t>
      </w:r>
      <w:r w:rsidR="00CA20D7">
        <w:rPr>
          <w:rFonts w:ascii="Times New Roman" w:hAnsi="Times New Roman" w:cs="Times New Roman"/>
          <w:sz w:val="24"/>
          <w:szCs w:val="24"/>
        </w:rPr>
        <w:t>ociation with the DV.  For a</w:t>
      </w:r>
      <w:r>
        <w:rPr>
          <w:rFonts w:ascii="Times New Roman" w:hAnsi="Times New Roman" w:cs="Times New Roman"/>
          <w:sz w:val="24"/>
          <w:szCs w:val="24"/>
        </w:rPr>
        <w:t xml:space="preserve"> one unit increase in the </w:t>
      </w:r>
      <w:r w:rsidRPr="00287689">
        <w:rPr>
          <w:rFonts w:ascii="Courier New" w:hAnsi="Courier New" w:cs="Courier New"/>
          <w:sz w:val="24"/>
          <w:szCs w:val="24"/>
        </w:rPr>
        <w:t>GENERAL</w:t>
      </w:r>
      <w:r>
        <w:rPr>
          <w:rFonts w:ascii="Times New Roman" w:hAnsi="Times New Roman" w:cs="Times New Roman"/>
          <w:sz w:val="24"/>
          <w:szCs w:val="24"/>
        </w:rPr>
        <w:t xml:space="preserve"> variable, the patent was 113.6 times more likely to have been cited by 3 or more other patents.</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t>The binary logistic regression analysis generated the following equation</w:t>
      </w:r>
      <w:r w:rsidR="00D4639F">
        <w:rPr>
          <w:rFonts w:ascii="Times New Roman" w:hAnsi="Times New Roman" w:cs="Times New Roman"/>
          <w:sz w:val="24"/>
          <w:szCs w:val="24"/>
        </w:rPr>
        <w:t xml:space="preserve"> for the logit of the probability that a patent received more than 2 citations</w:t>
      </w:r>
      <w:r>
        <w:rPr>
          <w:rFonts w:ascii="Times New Roman" w:hAnsi="Times New Roman" w:cs="Times New Roman"/>
          <w:sz w:val="24"/>
          <w:szCs w:val="24"/>
        </w:rPr>
        <w:t>:</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Logit</w:t>
      </w:r>
      <w:r w:rsidR="00D4639F">
        <w:rPr>
          <w:rFonts w:ascii="Times New Roman" w:hAnsi="Times New Roman" w:cs="Times New Roman"/>
          <w:sz w:val="24"/>
          <w:szCs w:val="24"/>
        </w:rPr>
        <w:t xml:space="preserve"> </w:t>
      </w:r>
      <w:r>
        <w:rPr>
          <w:rFonts w:ascii="Times New Roman" w:hAnsi="Times New Roman" w:cs="Times New Roman"/>
          <w:sz w:val="24"/>
          <w:szCs w:val="24"/>
        </w:rPr>
        <w:t>[</w:t>
      </w:r>
      <m:oMath>
        <m:r>
          <w:rPr>
            <w:rFonts w:ascii="Cambria Math" w:hAnsi="Cambria Math" w:cs="Times New Roman"/>
            <w:sz w:val="24"/>
            <w:szCs w:val="24"/>
          </w:rPr>
          <m:t>p</m:t>
        </m:r>
      </m:oMath>
      <w:r>
        <w:rPr>
          <w:rFonts w:ascii="Times New Roman" w:hAnsi="Times New Roman" w:cs="Times New Roman"/>
          <w:sz w:val="24"/>
          <w:szCs w:val="24"/>
        </w:rPr>
        <w:t>(</w:t>
      </w:r>
      <w:r w:rsidRPr="00347B6E">
        <w:rPr>
          <w:rFonts w:ascii="Courier New" w:hAnsi="Courier New" w:cs="Courier New"/>
          <w:sz w:val="24"/>
          <w:szCs w:val="24"/>
        </w:rPr>
        <w:t>CRECBINARY</w:t>
      </w:r>
      <w:r>
        <w:rPr>
          <w:rFonts w:ascii="Times New Roman" w:hAnsi="Times New Roman" w:cs="Times New Roman"/>
          <w:sz w:val="24"/>
          <w:szCs w:val="24"/>
        </w:rPr>
        <w:t>=2)] = 1054.771 + 0.015(</w:t>
      </w:r>
      <w:r w:rsidRPr="00C84A5B">
        <w:rPr>
          <w:rFonts w:ascii="Courier New" w:hAnsi="Courier New" w:cs="Courier New"/>
          <w:sz w:val="24"/>
          <w:szCs w:val="24"/>
        </w:rPr>
        <w:t>CLAIMS</w:t>
      </w:r>
      <w:r>
        <w:rPr>
          <w:rFonts w:ascii="Times New Roman" w:hAnsi="Times New Roman" w:cs="Times New Roman"/>
          <w:sz w:val="24"/>
          <w:szCs w:val="24"/>
        </w:rPr>
        <w:t>) – 0.529(</w:t>
      </w:r>
      <w:r w:rsidRPr="00C84A5B">
        <w:rPr>
          <w:rFonts w:ascii="Courier New" w:hAnsi="Courier New" w:cs="Courier New"/>
          <w:sz w:val="24"/>
          <w:szCs w:val="24"/>
        </w:rPr>
        <w:t>GYEAR</w:t>
      </w:r>
      <w:r>
        <w:rPr>
          <w:rFonts w:ascii="Times New Roman" w:hAnsi="Times New Roman" w:cs="Times New Roman"/>
          <w:sz w:val="24"/>
          <w:szCs w:val="24"/>
        </w:rPr>
        <w:t xml:space="preserve">) + </w:t>
      </w:r>
    </w:p>
    <w:p w:rsidR="009D2A67" w:rsidRDefault="009D2A67" w:rsidP="009D2A67">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4.733(</w:t>
      </w:r>
      <w:r w:rsidRPr="00C84A5B">
        <w:rPr>
          <w:rFonts w:ascii="Courier New" w:hAnsi="Courier New" w:cs="Courier New"/>
          <w:sz w:val="24"/>
          <w:szCs w:val="24"/>
        </w:rPr>
        <w:t>GENERAL</w:t>
      </w:r>
      <w:r>
        <w:rPr>
          <w:rFonts w:ascii="Times New Roman" w:hAnsi="Times New Roman" w:cs="Times New Roman"/>
          <w:sz w:val="24"/>
          <w:szCs w:val="24"/>
        </w:rPr>
        <w:t>) – 0.627(</w:t>
      </w:r>
      <w:r w:rsidRPr="00C84A5B">
        <w:rPr>
          <w:rFonts w:ascii="Courier New" w:hAnsi="Courier New" w:cs="Courier New"/>
          <w:sz w:val="24"/>
          <w:szCs w:val="24"/>
        </w:rPr>
        <w:t>ORIGINAL</w:t>
      </w:r>
      <w:r>
        <w:rPr>
          <w:rFonts w:ascii="Times New Roman" w:hAnsi="Times New Roman" w:cs="Times New Roman"/>
          <w:sz w:val="24"/>
          <w:szCs w:val="24"/>
        </w:rPr>
        <w:t>)</w:t>
      </w:r>
    </w:p>
    <w:p w:rsidR="009D2A67" w:rsidRDefault="009C33E3" w:rsidP="009D2A67">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,w</w:t>
      </w:r>
      <w:r w:rsidR="00C05AC4">
        <w:rPr>
          <w:rFonts w:ascii="Times New Roman" w:hAnsi="Times New Roman" w:cs="Times New Roman"/>
          <w:sz w:val="24"/>
          <w:szCs w:val="24"/>
        </w:rPr>
        <w:t>here</w:t>
      </w:r>
      <w:proofErr w:type="gramEnd"/>
      <w:r w:rsidR="00C05AC4">
        <w:rPr>
          <w:rFonts w:ascii="Times New Roman" w:hAnsi="Times New Roman" w:cs="Times New Roman"/>
          <w:sz w:val="24"/>
          <w:szCs w:val="24"/>
        </w:rPr>
        <w:t xml:space="preserve"> </w:t>
      </w:r>
      <w:r w:rsidR="00C05AC4" w:rsidRPr="00C05AC4">
        <w:rPr>
          <w:rFonts w:ascii="Courier New" w:hAnsi="Courier New" w:cs="Courier New"/>
          <w:sz w:val="24"/>
          <w:szCs w:val="24"/>
        </w:rPr>
        <w:t>CRECBINARY</w:t>
      </w:r>
      <w:r w:rsidR="00C05AC4">
        <w:rPr>
          <w:rFonts w:ascii="Times New Roman" w:hAnsi="Times New Roman" w:cs="Times New Roman"/>
          <w:sz w:val="24"/>
          <w:szCs w:val="24"/>
        </w:rPr>
        <w:t xml:space="preserve"> was coded as 1 for patents that receive 2 citations for fewer and </w:t>
      </w:r>
      <w:r w:rsidR="008E0001">
        <w:rPr>
          <w:rFonts w:ascii="Times New Roman" w:hAnsi="Times New Roman" w:cs="Times New Roman"/>
          <w:sz w:val="24"/>
          <w:szCs w:val="24"/>
        </w:rPr>
        <w:t xml:space="preserve">as </w:t>
      </w:r>
      <w:r w:rsidR="00C05AC4">
        <w:rPr>
          <w:rFonts w:ascii="Times New Roman" w:hAnsi="Times New Roman" w:cs="Times New Roman"/>
          <w:sz w:val="24"/>
          <w:szCs w:val="24"/>
        </w:rPr>
        <w:t xml:space="preserve">2 for patents that received more than 2 citations.  </w:t>
      </w:r>
      <w:r w:rsidR="009D2A67">
        <w:rPr>
          <w:rFonts w:ascii="Times New Roman" w:hAnsi="Times New Roman" w:cs="Times New Roman"/>
          <w:sz w:val="24"/>
          <w:szCs w:val="24"/>
        </w:rPr>
        <w:t>This can be re-written to provide the equation for determining the</w:t>
      </w:r>
      <w:r w:rsidR="008E0001">
        <w:rPr>
          <w:rFonts w:ascii="Times New Roman" w:hAnsi="Times New Roman" w:cs="Times New Roman"/>
          <w:sz w:val="24"/>
          <w:szCs w:val="24"/>
        </w:rPr>
        <w:t xml:space="preserve"> estimated</w:t>
      </w:r>
      <w:r w:rsidR="009D2A67">
        <w:rPr>
          <w:rFonts w:ascii="Times New Roman" w:hAnsi="Times New Roman" w:cs="Times New Roman"/>
          <w:sz w:val="24"/>
          <w:szCs w:val="24"/>
        </w:rPr>
        <w:t xml:space="preserve"> probability that a patent received more than 2 citations as follows:</w:t>
      </w:r>
    </w:p>
    <w:p w:rsidR="009D2A67" w:rsidRDefault="00902F6A" w:rsidP="00347B6E">
      <w:pPr>
        <w:spacing w:after="0" w:line="480" w:lineRule="auto"/>
        <w:ind w:firstLine="720"/>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sidR="009D2A67">
        <w:rPr>
          <w:rFonts w:ascii="Times New Roman" w:hAnsi="Times New Roman" w:cs="Times New Roman"/>
          <w:sz w:val="24"/>
          <w:szCs w:val="24"/>
        </w:rPr>
        <w:t xml:space="preserve"> </w:t>
      </w:r>
      <w:r w:rsidR="00C05481">
        <w:rPr>
          <w:rFonts w:ascii="Times New Roman" w:hAnsi="Times New Roman" w:cs="Times New Roman"/>
          <w:sz w:val="24"/>
          <w:szCs w:val="24"/>
        </w:rPr>
        <w:t>= Logit</w:t>
      </w:r>
      <w:r w:rsidR="00C05481">
        <w:rPr>
          <w:rFonts w:ascii="Times New Roman" w:hAnsi="Times New Roman" w:cs="Times New Roman"/>
          <w:sz w:val="24"/>
          <w:szCs w:val="24"/>
          <w:vertAlign w:val="superscript"/>
        </w:rPr>
        <w:t>-1</w:t>
      </w:r>
      <w:r w:rsidR="00C05481">
        <w:rPr>
          <w:rFonts w:ascii="Times New Roman" w:hAnsi="Times New Roman" w:cs="Times New Roman"/>
          <w:sz w:val="24"/>
          <w:szCs w:val="24"/>
        </w:rPr>
        <w:t>(</w:t>
      </w:r>
      <m:oMath>
        <m:r>
          <w:rPr>
            <w:rFonts w:ascii="Cambria Math" w:hAnsi="Cambria Math" w:cs="Times New Roman"/>
            <w:sz w:val="24"/>
            <w:szCs w:val="24"/>
          </w:rPr>
          <m:t>p</m:t>
        </m:r>
      </m:oMath>
      <w:r w:rsidR="00C05481">
        <w:rPr>
          <w:rFonts w:ascii="Times New Roman" w:hAnsi="Times New Roman" w:cs="Times New Roman"/>
          <w:sz w:val="24"/>
          <w:szCs w:val="24"/>
        </w:rPr>
        <w:t xml:space="preserve">) </w:t>
      </w:r>
      <w:r w:rsidR="009D2A67">
        <w:rPr>
          <w:rFonts w:ascii="Times New Roman" w:hAnsi="Times New Roman" w:cs="Times New Roman"/>
          <w:sz w:val="24"/>
          <w:szCs w:val="24"/>
        </w:rPr>
        <w:t xml:space="preserve">=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num>
          <m:den>
            <m:sSup>
              <m:sSupPr>
                <m:ctrlPr>
                  <w:rPr>
                    <w:rFonts w:ascii="Cambria Math" w:hAnsi="Cambria Math" w:cs="Times New Roman"/>
                    <w:i/>
                    <w:sz w:val="24"/>
                    <w:szCs w:val="24"/>
                  </w:rPr>
                </m:ctrlPr>
              </m:sSupPr>
              <m:e>
                <m:r>
                  <w:rPr>
                    <w:rFonts w:ascii="Cambria Math" w:hAnsi="Cambria Math" w:cs="Times New Roman"/>
                    <w:sz w:val="24"/>
                    <w:szCs w:val="24"/>
                  </w:rPr>
                  <m:t>1+ e</m:t>
                </m:r>
              </m:e>
              <m:sup>
                <m:r>
                  <m:rPr>
                    <m:sty m:val="p"/>
                  </m:rPr>
                  <w:rPr>
                    <w:rFonts w:ascii="Cambria Math" w:hAnsi="Cambria Math" w:cs="Times New Roman"/>
                    <w:sz w:val="24"/>
                    <w:szCs w:val="24"/>
                  </w:rPr>
                  <m:t>1054.771 + 0.015</m:t>
                </m:r>
                <m:d>
                  <m:dPr>
                    <m:ctrlPr>
                      <w:rPr>
                        <w:rFonts w:ascii="Cambria Math" w:hAnsi="Cambria Math" w:cs="Times New Roman"/>
                        <w:sz w:val="24"/>
                        <w:szCs w:val="24"/>
                      </w:rPr>
                    </m:ctrlPr>
                  </m:dPr>
                  <m:e>
                    <m:r>
                      <m:rPr>
                        <m:sty m:val="p"/>
                      </m:rPr>
                      <w:rPr>
                        <w:rFonts w:ascii="Cambria Math" w:hAnsi="Cambria Math" w:cs="Courier New"/>
                        <w:sz w:val="24"/>
                        <w:szCs w:val="24"/>
                      </w:rPr>
                      <m:t>CLAIMS</m:t>
                    </m:r>
                  </m:e>
                </m:d>
                <m:r>
                  <m:rPr>
                    <m:sty m:val="p"/>
                  </m:rPr>
                  <w:rPr>
                    <w:rFonts w:ascii="Cambria Math" w:hAnsi="Cambria Math" w:cs="Times New Roman"/>
                    <w:sz w:val="24"/>
                    <w:szCs w:val="24"/>
                  </w:rPr>
                  <m:t xml:space="preserve"> – 0.529</m:t>
                </m:r>
                <m:d>
                  <m:dPr>
                    <m:ctrlPr>
                      <w:rPr>
                        <w:rFonts w:ascii="Cambria Math" w:hAnsi="Cambria Math" w:cs="Times New Roman"/>
                        <w:sz w:val="24"/>
                        <w:szCs w:val="24"/>
                      </w:rPr>
                    </m:ctrlPr>
                  </m:dPr>
                  <m:e>
                    <m:r>
                      <m:rPr>
                        <m:sty m:val="p"/>
                      </m:rPr>
                      <w:rPr>
                        <w:rFonts w:ascii="Cambria Math" w:hAnsi="Cambria Math" w:cs="Courier New"/>
                        <w:sz w:val="24"/>
                        <w:szCs w:val="24"/>
                      </w:rPr>
                      <m:t>GYEAR</m:t>
                    </m:r>
                  </m:e>
                </m:d>
                <m:r>
                  <m:rPr>
                    <m:sty m:val="p"/>
                  </m:rPr>
                  <w:rPr>
                    <w:rFonts w:ascii="Cambria Math" w:hAnsi="Cambria Math" w:cs="Times New Roman"/>
                    <w:sz w:val="24"/>
                    <w:szCs w:val="24"/>
                  </w:rPr>
                  <m:t xml:space="preserve"> + 4.733(</m:t>
                </m:r>
                <m:r>
                  <m:rPr>
                    <m:sty m:val="p"/>
                  </m:rPr>
                  <w:rPr>
                    <w:rFonts w:ascii="Cambria Math" w:hAnsi="Cambria Math" w:cs="Courier New"/>
                    <w:sz w:val="24"/>
                    <w:szCs w:val="24"/>
                  </w:rPr>
                  <m:t>GENERAL</m:t>
                </m:r>
                <m:r>
                  <m:rPr>
                    <m:sty m:val="p"/>
                  </m:rPr>
                  <w:rPr>
                    <w:rFonts w:ascii="Cambria Math" w:hAnsi="Cambria Math" w:cs="Times New Roman"/>
                    <w:sz w:val="24"/>
                    <w:szCs w:val="24"/>
                  </w:rPr>
                  <m:t>) – 0.627(</m:t>
                </m:r>
                <m:r>
                  <m:rPr>
                    <m:sty m:val="p"/>
                  </m:rPr>
                  <w:rPr>
                    <w:rFonts w:ascii="Cambria Math" w:hAnsi="Cambria Math" w:cs="Courier New"/>
                    <w:sz w:val="24"/>
                    <w:szCs w:val="24"/>
                  </w:rPr>
                  <m:t>ORIGINAL</m:t>
                </m:r>
                <m:r>
                  <m:rPr>
                    <m:sty m:val="p"/>
                  </m:rPr>
                  <w:rPr>
                    <w:rFonts w:ascii="Cambria Math" w:hAnsi="Cambria Math" w:cs="Times New Roman"/>
                    <w:sz w:val="24"/>
                    <w:szCs w:val="24"/>
                  </w:rPr>
                  <m:t>)</m:t>
                </m:r>
              </m:sup>
            </m:sSup>
          </m:den>
        </m:f>
      </m:oMath>
    </w:p>
    <w:p w:rsidR="00BE372A" w:rsidRDefault="00745555"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 2 shows the results of the Omnibus test of the model coefficients</w:t>
      </w:r>
      <w:r w:rsidR="00AF3007">
        <w:rPr>
          <w:rFonts w:ascii="Times New Roman" w:hAnsi="Times New Roman" w:cs="Times New Roman"/>
          <w:sz w:val="24"/>
          <w:szCs w:val="24"/>
        </w:rPr>
        <w:t xml:space="preserve"> and Table 3 shows the model summary statistics</w:t>
      </w:r>
      <w:r>
        <w:rPr>
          <w:rFonts w:ascii="Times New Roman" w:hAnsi="Times New Roman" w:cs="Times New Roman"/>
          <w:sz w:val="24"/>
          <w:szCs w:val="24"/>
        </w:rPr>
        <w:t xml:space="preserve">.  </w:t>
      </w:r>
      <w:r w:rsidR="00AF3007">
        <w:rPr>
          <w:rFonts w:ascii="Times New Roman" w:hAnsi="Times New Roman" w:cs="Times New Roman"/>
          <w:sz w:val="24"/>
          <w:szCs w:val="24"/>
        </w:rPr>
        <w:t xml:space="preserve">The result of the Omnibus test </w:t>
      </w:r>
      <w:r>
        <w:rPr>
          <w:rFonts w:ascii="Times New Roman" w:hAnsi="Times New Roman" w:cs="Times New Roman"/>
          <w:sz w:val="24"/>
          <w:szCs w:val="24"/>
        </w:rPr>
        <w:t>indicates that</w:t>
      </w:r>
      <w:r w:rsidR="00F27DEB">
        <w:rPr>
          <w:rFonts w:ascii="Times New Roman" w:hAnsi="Times New Roman" w:cs="Times New Roman"/>
          <w:sz w:val="24"/>
          <w:szCs w:val="24"/>
        </w:rPr>
        <w:t xml:space="preserve"> including</w:t>
      </w:r>
      <w:r>
        <w:rPr>
          <w:rFonts w:ascii="Times New Roman" w:hAnsi="Times New Roman" w:cs="Times New Roman"/>
          <w:sz w:val="24"/>
          <w:szCs w:val="24"/>
        </w:rPr>
        <w:t xml:space="preserve"> the </w:t>
      </w:r>
      <w:r w:rsidRPr="00745555">
        <w:rPr>
          <w:rFonts w:ascii="Courier New" w:hAnsi="Courier New" w:cs="Courier New"/>
          <w:sz w:val="24"/>
          <w:szCs w:val="24"/>
        </w:rPr>
        <w:t>CLAIMS</w:t>
      </w:r>
      <w:r>
        <w:rPr>
          <w:rFonts w:ascii="Times New Roman" w:hAnsi="Times New Roman" w:cs="Times New Roman"/>
          <w:sz w:val="24"/>
          <w:szCs w:val="24"/>
        </w:rPr>
        <w:t xml:space="preserve">, </w:t>
      </w:r>
      <w:r w:rsidRPr="00745555">
        <w:rPr>
          <w:rFonts w:ascii="Courier New" w:hAnsi="Courier New" w:cs="Courier New"/>
          <w:sz w:val="24"/>
          <w:szCs w:val="24"/>
        </w:rPr>
        <w:t>GYEAR</w:t>
      </w:r>
      <w:r>
        <w:rPr>
          <w:rFonts w:ascii="Times New Roman" w:hAnsi="Times New Roman" w:cs="Times New Roman"/>
          <w:sz w:val="24"/>
          <w:szCs w:val="24"/>
        </w:rPr>
        <w:t xml:space="preserve">, </w:t>
      </w:r>
      <w:r w:rsidRPr="00745555">
        <w:rPr>
          <w:rFonts w:ascii="Courier New" w:hAnsi="Courier New" w:cs="Courier New"/>
          <w:sz w:val="24"/>
          <w:szCs w:val="24"/>
        </w:rPr>
        <w:t>GENERAL</w:t>
      </w:r>
      <w:r>
        <w:rPr>
          <w:rFonts w:ascii="Times New Roman" w:hAnsi="Times New Roman" w:cs="Times New Roman"/>
          <w:sz w:val="24"/>
          <w:szCs w:val="24"/>
        </w:rPr>
        <w:t xml:space="preserve">, and </w:t>
      </w:r>
      <w:r w:rsidRPr="00745555">
        <w:rPr>
          <w:rFonts w:ascii="Courier New" w:hAnsi="Courier New" w:cs="Courier New"/>
          <w:sz w:val="24"/>
          <w:szCs w:val="24"/>
        </w:rPr>
        <w:t>ORIGINA</w:t>
      </w:r>
      <w:r w:rsidRPr="00F27DEB">
        <w:rPr>
          <w:rFonts w:ascii="Courier New" w:hAnsi="Courier New" w:cs="Courier New"/>
          <w:sz w:val="24"/>
          <w:szCs w:val="24"/>
        </w:rPr>
        <w:t>L</w:t>
      </w:r>
      <w:r>
        <w:rPr>
          <w:rFonts w:ascii="Times New Roman" w:hAnsi="Times New Roman" w:cs="Times New Roman"/>
          <w:sz w:val="24"/>
          <w:szCs w:val="24"/>
        </w:rPr>
        <w:t xml:space="preserve"> varia</w:t>
      </w:r>
      <w:r w:rsidR="00492BB0">
        <w:rPr>
          <w:rFonts w:ascii="Times New Roman" w:hAnsi="Times New Roman" w:cs="Times New Roman"/>
          <w:sz w:val="24"/>
          <w:szCs w:val="24"/>
        </w:rPr>
        <w:t>bles improved the model fit.  O</w:t>
      </w:r>
      <w:r>
        <w:rPr>
          <w:rFonts w:ascii="Times New Roman" w:hAnsi="Times New Roman" w:cs="Times New Roman"/>
          <w:sz w:val="24"/>
          <w:szCs w:val="24"/>
        </w:rPr>
        <w:t xml:space="preserve">ne or </w:t>
      </w:r>
      <w:r w:rsidR="00AF3007">
        <w:rPr>
          <w:rFonts w:ascii="Times New Roman" w:hAnsi="Times New Roman" w:cs="Times New Roman"/>
          <w:sz w:val="24"/>
          <w:szCs w:val="24"/>
        </w:rPr>
        <w:t>more of these IVs predict the dependent variable</w:t>
      </w:r>
      <w:r>
        <w:rPr>
          <w:rFonts w:ascii="Times New Roman" w:hAnsi="Times New Roman" w:cs="Times New Roman"/>
          <w:sz w:val="24"/>
          <w:szCs w:val="24"/>
        </w:rPr>
        <w:t>.</w:t>
      </w:r>
      <w:r w:rsidR="00492BB0">
        <w:rPr>
          <w:rFonts w:ascii="Times New Roman" w:hAnsi="Times New Roman" w:cs="Times New Roman"/>
          <w:sz w:val="24"/>
          <w:szCs w:val="24"/>
        </w:rPr>
        <w:t xml:space="preserve">  The p-value was less than 0.001</w:t>
      </w:r>
      <w:r w:rsidR="00FE332A">
        <w:rPr>
          <w:rFonts w:ascii="Times New Roman" w:hAnsi="Times New Roman" w:cs="Times New Roman"/>
          <w:sz w:val="24"/>
          <w:szCs w:val="24"/>
        </w:rPr>
        <w:t>, which was significant</w:t>
      </w:r>
      <w:r w:rsidR="00492BB0">
        <w:rPr>
          <w:rFonts w:ascii="Times New Roman" w:hAnsi="Times New Roman" w:cs="Times New Roman"/>
          <w:sz w:val="24"/>
          <w:szCs w:val="24"/>
        </w:rPr>
        <w:t>.</w:t>
      </w:r>
      <w:r w:rsidR="00FE332A">
        <w:rPr>
          <w:rFonts w:ascii="Times New Roman" w:hAnsi="Times New Roman" w:cs="Times New Roman"/>
          <w:sz w:val="24"/>
          <w:szCs w:val="24"/>
        </w:rPr>
        <w:t xml:space="preserve">  The -2 Log likelihood was reduced from 2,623.109 to 1,906.867, which was a decrease of 716.242.</w:t>
      </w:r>
      <w:r w:rsidR="007A1DC5" w:rsidRPr="007A1DC5">
        <w:rPr>
          <w:rFonts w:ascii="Times New Roman" w:hAnsi="Times New Roman" w:cs="Times New Roman"/>
          <w:sz w:val="24"/>
          <w:szCs w:val="24"/>
        </w:rPr>
        <w:t xml:space="preserve"> </w:t>
      </w:r>
      <w:r w:rsidR="007A1DC5">
        <w:rPr>
          <w:rFonts w:ascii="Times New Roman" w:hAnsi="Times New Roman" w:cs="Times New Roman"/>
          <w:sz w:val="24"/>
          <w:szCs w:val="24"/>
        </w:rPr>
        <w:t xml:space="preserve"> The </w:t>
      </w:r>
      <w:proofErr w:type="spellStart"/>
      <w:r w:rsidR="007A1DC5">
        <w:rPr>
          <w:rFonts w:ascii="Times New Roman" w:hAnsi="Times New Roman" w:cs="Times New Roman"/>
          <w:sz w:val="24"/>
          <w:szCs w:val="24"/>
        </w:rPr>
        <w:t>Nagelkerke</w:t>
      </w:r>
      <w:proofErr w:type="spellEnd"/>
      <w:r w:rsidR="007A1DC5">
        <w:rPr>
          <w:rFonts w:ascii="Times New Roman" w:hAnsi="Times New Roman" w:cs="Times New Roman"/>
          <w:sz w:val="24"/>
          <w:szCs w:val="24"/>
        </w:rPr>
        <w:t xml:space="preserve"> R</w:t>
      </w:r>
      <w:r w:rsidR="007A1DC5">
        <w:rPr>
          <w:rFonts w:ascii="Times New Roman" w:hAnsi="Times New Roman" w:cs="Times New Roman"/>
          <w:sz w:val="24"/>
          <w:szCs w:val="24"/>
          <w:vertAlign w:val="superscript"/>
        </w:rPr>
        <w:t>2</w:t>
      </w:r>
      <w:r w:rsidR="007A1DC5">
        <w:rPr>
          <w:rFonts w:ascii="Times New Roman" w:hAnsi="Times New Roman" w:cs="Times New Roman"/>
          <w:sz w:val="24"/>
          <w:szCs w:val="24"/>
        </w:rPr>
        <w:t xml:space="preserve"> was 0.415, which indicates that 41.5 percent of the probability that a patent received more than 2 citations was explained by the IVs included in the model.</w:t>
      </w:r>
    </w:p>
    <w:p w:rsidR="00745555" w:rsidRPr="00AF3007" w:rsidRDefault="001F264D" w:rsidP="00AF3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AF3007">
        <w:rPr>
          <w:rFonts w:ascii="Times New Roman" w:hAnsi="Times New Roman" w:cs="Times New Roman"/>
          <w:sz w:val="24"/>
          <w:szCs w:val="24"/>
        </w:rPr>
        <w:t>4</w:t>
      </w:r>
      <w:r>
        <w:rPr>
          <w:rFonts w:ascii="Times New Roman" w:hAnsi="Times New Roman" w:cs="Times New Roman"/>
          <w:sz w:val="24"/>
          <w:szCs w:val="24"/>
        </w:rPr>
        <w:t xml:space="preserve"> shows the</w:t>
      </w:r>
      <w:r w:rsidR="004A2BFE">
        <w:rPr>
          <w:rFonts w:ascii="Times New Roman" w:hAnsi="Times New Roman" w:cs="Times New Roman"/>
          <w:sz w:val="24"/>
          <w:szCs w:val="24"/>
        </w:rPr>
        <w:t xml:space="preserve"> results of the</w:t>
      </w:r>
      <w:r>
        <w:rPr>
          <w:rFonts w:ascii="Times New Roman" w:hAnsi="Times New Roman" w:cs="Times New Roman"/>
          <w:sz w:val="24"/>
          <w:szCs w:val="24"/>
        </w:rPr>
        <w:t xml:space="preserve">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r w:rsidR="00AF3007">
        <w:rPr>
          <w:rFonts w:ascii="Times New Roman" w:hAnsi="Times New Roman" w:cs="Times New Roman"/>
          <w:sz w:val="24"/>
          <w:szCs w:val="24"/>
        </w:rPr>
        <w:t xml:space="preserve"> and Table 5</w:t>
      </w:r>
      <w:r w:rsidR="004A2BFE">
        <w:rPr>
          <w:rFonts w:ascii="Times New Roman" w:hAnsi="Times New Roman" w:cs="Times New Roman"/>
          <w:sz w:val="24"/>
          <w:szCs w:val="24"/>
        </w:rPr>
        <w:t xml:space="preserve"> shows the cont</w:t>
      </w:r>
      <w:r w:rsidR="00FE34A2">
        <w:rPr>
          <w:rFonts w:ascii="Times New Roman" w:hAnsi="Times New Roman" w:cs="Times New Roman"/>
          <w:sz w:val="24"/>
          <w:szCs w:val="24"/>
        </w:rPr>
        <w:t>ingency table for the Hosmer-</w:t>
      </w:r>
      <w:proofErr w:type="spellStart"/>
      <w:r w:rsidR="00FE34A2">
        <w:rPr>
          <w:rFonts w:ascii="Times New Roman" w:hAnsi="Times New Roman" w:cs="Times New Roman"/>
          <w:sz w:val="24"/>
          <w:szCs w:val="24"/>
        </w:rPr>
        <w:t>Lemeshow</w:t>
      </w:r>
      <w:proofErr w:type="spellEnd"/>
      <w:r w:rsidR="00FE34A2">
        <w:rPr>
          <w:rFonts w:ascii="Times New Roman" w:hAnsi="Times New Roman" w:cs="Times New Roman"/>
          <w:sz w:val="24"/>
          <w:szCs w:val="24"/>
        </w:rPr>
        <w:t xml:space="preserve"> Test.</w:t>
      </w:r>
      <w:r>
        <w:rPr>
          <w:rFonts w:ascii="Times New Roman" w:hAnsi="Times New Roman" w:cs="Times New Roman"/>
          <w:sz w:val="24"/>
          <w:szCs w:val="24"/>
        </w:rPr>
        <w:t xml:space="preserve">  The chi-square value was 23.671</w:t>
      </w:r>
      <w:r w:rsidR="007A6FD9">
        <w:rPr>
          <w:rFonts w:ascii="Times New Roman" w:hAnsi="Times New Roman" w:cs="Times New Roman"/>
          <w:sz w:val="24"/>
          <w:szCs w:val="24"/>
        </w:rPr>
        <w:t>, which does not seem very small</w:t>
      </w:r>
      <w:r w:rsidR="004A2BFE">
        <w:rPr>
          <w:rFonts w:ascii="Times New Roman" w:hAnsi="Times New Roman" w:cs="Times New Roman"/>
          <w:sz w:val="24"/>
          <w:szCs w:val="24"/>
        </w:rPr>
        <w:t>.  The p-value was 0.003 which is not much above the 0.001 significance level.  These results suggest a lack of fit for the model.</w:t>
      </w:r>
      <w:r w:rsidR="000837EA">
        <w:rPr>
          <w:rFonts w:ascii="Times New Roman" w:hAnsi="Times New Roman" w:cs="Times New Roman"/>
          <w:sz w:val="24"/>
          <w:szCs w:val="24"/>
        </w:rPr>
        <w:t xml:space="preserve"> </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 analysis provides insight into a topic that is of considerable interest to policymakers.  It provides information to help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 xml:space="preserve">policymakers better understand the drivers of the technology transfer outcomes and identify possible factors that should be considered when forming public policy regarding technology transfer.  </w:t>
      </w:r>
      <w:r w:rsidR="002829D7">
        <w:rPr>
          <w:rFonts w:ascii="Times New Roman" w:hAnsi="Times New Roman" w:cs="Times New Roman"/>
          <w:sz w:val="24"/>
          <w:szCs w:val="24"/>
        </w:rPr>
        <w:t>The analysis</w:t>
      </w:r>
      <w:r w:rsidR="00135A7B">
        <w:rPr>
          <w:rFonts w:ascii="Times New Roman" w:hAnsi="Times New Roman" w:cs="Times New Roman"/>
          <w:sz w:val="24"/>
          <w:szCs w:val="24"/>
        </w:rPr>
        <w:t xml:space="preserve"> suggests that considering non-transactional measures of </w:t>
      </w:r>
      <w:r w:rsidR="00205B2C">
        <w:rPr>
          <w:rFonts w:ascii="Times New Roman" w:hAnsi="Times New Roman" w:cs="Times New Roman"/>
          <w:sz w:val="24"/>
          <w:szCs w:val="24"/>
        </w:rPr>
        <w:t>knowledge</w:t>
      </w:r>
      <w:r w:rsidR="00135A7B">
        <w:rPr>
          <w:rFonts w:ascii="Times New Roman" w:hAnsi="Times New Roman" w:cs="Times New Roman"/>
          <w:sz w:val="24"/>
          <w:szCs w:val="24"/>
        </w:rPr>
        <w:t xml:space="preserve"> transfer may be </w:t>
      </w:r>
      <w:r w:rsidR="00944360">
        <w:rPr>
          <w:rFonts w:ascii="Times New Roman" w:hAnsi="Times New Roman" w:cs="Times New Roman"/>
          <w:sz w:val="24"/>
          <w:szCs w:val="24"/>
        </w:rPr>
        <w:t>feasible.  This</w:t>
      </w:r>
      <w:r w:rsidR="00135A7B">
        <w:rPr>
          <w:rFonts w:ascii="Times New Roman" w:hAnsi="Times New Roman" w:cs="Times New Roman"/>
          <w:sz w:val="24"/>
          <w:szCs w:val="24"/>
        </w:rPr>
        <w:t xml:space="preserve"> could</w:t>
      </w:r>
      <w:r w:rsidR="00944360">
        <w:rPr>
          <w:rFonts w:ascii="Times New Roman" w:hAnsi="Times New Roman" w:cs="Times New Roman"/>
          <w:sz w:val="24"/>
          <w:szCs w:val="24"/>
        </w:rPr>
        <w:t xml:space="preserve"> </w:t>
      </w:r>
      <w:r w:rsidR="00944360">
        <w:rPr>
          <w:rFonts w:ascii="Times New Roman" w:hAnsi="Times New Roman" w:cs="Times New Roman"/>
          <w:sz w:val="24"/>
          <w:szCs w:val="24"/>
        </w:rPr>
        <w:lastRenderedPageBreak/>
        <w:t>significantly</w:t>
      </w:r>
      <w:r w:rsidR="00135A7B">
        <w:rPr>
          <w:rFonts w:ascii="Times New Roman" w:hAnsi="Times New Roman" w:cs="Times New Roman"/>
          <w:sz w:val="24"/>
          <w:szCs w:val="24"/>
        </w:rPr>
        <w:t xml:space="preserve"> affect the objectives of policymakers with regard to technology transfer.  </w:t>
      </w:r>
      <w:r w:rsidRPr="00515BF4">
        <w:rPr>
          <w:rFonts w:ascii="Times New Roman" w:hAnsi="Times New Roman" w:cs="Times New Roman"/>
          <w:sz w:val="24"/>
          <w:szCs w:val="24"/>
        </w:rPr>
        <w:t>As such, this study may</w:t>
      </w:r>
      <w:r w:rsidR="00205B2C">
        <w:rPr>
          <w:rFonts w:ascii="Times New Roman" w:hAnsi="Times New Roman" w:cs="Times New Roman"/>
          <w:sz w:val="24"/>
          <w:szCs w:val="24"/>
        </w:rPr>
        <w:t xml:space="preserve"> influence how policymakers think about technology transfer and how they</w:t>
      </w:r>
      <w:r w:rsidRPr="00515BF4">
        <w:rPr>
          <w:rFonts w:ascii="Times New Roman" w:hAnsi="Times New Roman" w:cs="Times New Roman"/>
          <w:sz w:val="24"/>
          <w:szCs w:val="24"/>
        </w:rPr>
        <w:t xml:space="preserve"> formulate public policy </w:t>
      </w:r>
      <w:r w:rsidR="002829D7">
        <w:rPr>
          <w:rFonts w:ascii="Times New Roman" w:hAnsi="Times New Roman" w:cs="Times New Roman"/>
          <w:sz w:val="24"/>
          <w:szCs w:val="24"/>
        </w:rPr>
        <w:t>to</w:t>
      </w:r>
      <w:r w:rsidRPr="00515BF4">
        <w:rPr>
          <w:rFonts w:ascii="Times New Roman" w:hAnsi="Times New Roman" w:cs="Times New Roman"/>
          <w:sz w:val="24"/>
          <w:szCs w:val="24"/>
        </w:rPr>
        <w:t xml:space="preserve"> </w:t>
      </w:r>
      <w:r w:rsidR="00205B2C">
        <w:rPr>
          <w:rFonts w:ascii="Times New Roman" w:hAnsi="Times New Roman" w:cs="Times New Roman"/>
          <w:sz w:val="24"/>
          <w:szCs w:val="24"/>
        </w:rPr>
        <w:t>increase</w:t>
      </w:r>
      <w:r w:rsidR="002829D7">
        <w:rPr>
          <w:rFonts w:ascii="Times New Roman" w:hAnsi="Times New Roman" w:cs="Times New Roman"/>
          <w:sz w:val="24"/>
          <w:szCs w:val="24"/>
        </w:rPr>
        <w:t xml:space="preserve"> the</w:t>
      </w:r>
      <w:r w:rsidR="00205B2C">
        <w:rPr>
          <w:rFonts w:ascii="Times New Roman" w:hAnsi="Times New Roman" w:cs="Times New Roman"/>
          <w:sz w:val="24"/>
          <w:szCs w:val="24"/>
        </w:rPr>
        <w:t xml:space="preserve"> </w:t>
      </w:r>
      <w:r w:rsidR="002829D7" w:rsidRPr="00515BF4">
        <w:rPr>
          <w:rFonts w:ascii="Times New Roman" w:hAnsi="Times New Roman" w:cs="Times New Roman"/>
          <w:sz w:val="24"/>
          <w:szCs w:val="24"/>
        </w:rPr>
        <w:t xml:space="preserve">transfer </w:t>
      </w:r>
      <w:r w:rsidRPr="00515BF4">
        <w:rPr>
          <w:rFonts w:ascii="Times New Roman" w:hAnsi="Times New Roman" w:cs="Times New Roman"/>
          <w:sz w:val="24"/>
          <w:szCs w:val="24"/>
        </w:rPr>
        <w:t>of federally-funded research to the private sector.</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Limitations of the Analysis</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As with any research project or study, this analysis has limitations.  Since this analysis was focused on patent data for a five year period from 1995 to 1999, findings based on the data may not be relevant to time frames before or after this period.  Additionally, there is a truncation effect in the data.  Patents issued in the earliest part of the study period have the potential of receiving citations from patents over a longer period than patents issued in the la</w:t>
      </w:r>
      <w:r w:rsidR="00205B2C">
        <w:rPr>
          <w:rFonts w:ascii="Times New Roman" w:hAnsi="Times New Roman" w:cs="Times New Roman"/>
          <w:sz w:val="24"/>
          <w:szCs w:val="24"/>
        </w:rPr>
        <w:t xml:space="preserve">tter part of the study period. </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Future Study</w:t>
      </w:r>
    </w:p>
    <w:p w:rsidR="00515BF4" w:rsidRPr="00515BF4"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 xml:space="preserve">There are several opportunities to improve upon and extend the analysis presented in this paper.  To begin, it might prove useful to secure more recent data and to examine a subset of data buffered by at least 5 years of data on both sides of the period of study to minimize truncation effects.  </w:t>
      </w:r>
      <w:r w:rsidR="00030383">
        <w:rPr>
          <w:rFonts w:ascii="Times New Roman" w:hAnsi="Times New Roman" w:cs="Times New Roman"/>
          <w:sz w:val="24"/>
          <w:szCs w:val="24"/>
        </w:rPr>
        <w:t xml:space="preserve">Removing outliers from the data may improve the goodness-of-fit of the model.  </w:t>
      </w:r>
      <w:r w:rsidR="00FE2921">
        <w:rPr>
          <w:rFonts w:ascii="Times New Roman" w:hAnsi="Times New Roman" w:cs="Times New Roman"/>
          <w:sz w:val="24"/>
          <w:szCs w:val="24"/>
        </w:rPr>
        <w:t xml:space="preserve">Measuring </w:t>
      </w:r>
      <w:r w:rsidR="00050454">
        <w:rPr>
          <w:rFonts w:ascii="Times New Roman" w:hAnsi="Times New Roman" w:cs="Times New Roman"/>
          <w:sz w:val="24"/>
          <w:szCs w:val="24"/>
        </w:rPr>
        <w:t xml:space="preserve">only </w:t>
      </w:r>
      <w:r w:rsidR="00FE2921">
        <w:rPr>
          <w:rFonts w:ascii="Times New Roman" w:hAnsi="Times New Roman" w:cs="Times New Roman"/>
          <w:sz w:val="24"/>
          <w:szCs w:val="24"/>
        </w:rPr>
        <w:t xml:space="preserve">the number of dependent claims in a patent rather than all claims may help to better isolate the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claims and the number of citations received.  Introducing</w:t>
      </w:r>
      <w:r w:rsidR="0031708C">
        <w:rPr>
          <w:rFonts w:ascii="Times New Roman" w:hAnsi="Times New Roman" w:cs="Times New Roman"/>
          <w:sz w:val="24"/>
          <w:szCs w:val="24"/>
        </w:rPr>
        <w:t xml:space="preserve"> classifications as an indication of the diversity of a technology as well as the </w:t>
      </w:r>
      <w:r w:rsidRPr="00515BF4">
        <w:rPr>
          <w:rFonts w:ascii="Times New Roman" w:hAnsi="Times New Roman" w:cs="Times New Roman"/>
          <w:sz w:val="24"/>
          <w:szCs w:val="24"/>
        </w:rPr>
        <w:t>category and subcategory of patents into the analysis to determine if the type of technology is associated with</w:t>
      </w:r>
      <w:r w:rsidR="00FE2921">
        <w:rPr>
          <w:rFonts w:ascii="Times New Roman" w:hAnsi="Times New Roman" w:cs="Times New Roman"/>
          <w:sz w:val="24"/>
          <w:szCs w:val="24"/>
        </w:rPr>
        <w:t xml:space="preserve"> technology transfer outcomes might also be useful.</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6DCB">
        <w:rPr>
          <w:rFonts w:ascii="Times New Roman" w:hAnsi="Times New Roman" w:cs="Times New Roman"/>
          <w:sz w:val="24"/>
          <w:szCs w:val="24"/>
        </w:rPr>
        <w:t>In this study</w:t>
      </w:r>
      <w:r w:rsidR="00515BF4" w:rsidRPr="00515BF4">
        <w:rPr>
          <w:rFonts w:ascii="Times New Roman" w:hAnsi="Times New Roman" w:cs="Times New Roman"/>
          <w:sz w:val="24"/>
          <w:szCs w:val="24"/>
        </w:rPr>
        <w:t>, I have continued to explore an alternative conceptualization of technology transfer and an approach to measuring technology transfer based on patent citations received</w:t>
      </w:r>
      <w:r w:rsidR="00183221">
        <w:rPr>
          <w:rFonts w:ascii="Times New Roman" w:hAnsi="Times New Roman" w:cs="Times New Roman"/>
          <w:sz w:val="24"/>
          <w:szCs w:val="24"/>
        </w:rPr>
        <w:t xml:space="preserve">, </w:t>
      </w:r>
      <w:r w:rsidR="00183221">
        <w:rPr>
          <w:rFonts w:ascii="Times New Roman" w:hAnsi="Times New Roman" w:cs="Times New Roman"/>
          <w:sz w:val="24"/>
          <w:szCs w:val="24"/>
        </w:rPr>
        <w:lastRenderedPageBreak/>
        <w:t xml:space="preserve">which represents a non-transactional </w:t>
      </w:r>
      <w:r w:rsidR="00E86DCB">
        <w:rPr>
          <w:rFonts w:ascii="Times New Roman" w:hAnsi="Times New Roman" w:cs="Times New Roman"/>
          <w:sz w:val="24"/>
          <w:szCs w:val="24"/>
        </w:rPr>
        <w:t xml:space="preserve">based </w:t>
      </w:r>
      <w:r w:rsidR="00183221">
        <w:rPr>
          <w:rFonts w:ascii="Times New Roman" w:hAnsi="Times New Roman" w:cs="Times New Roman"/>
          <w:sz w:val="24"/>
          <w:szCs w:val="24"/>
        </w:rPr>
        <w:t>modality of technology transfer</w:t>
      </w:r>
      <w:r w:rsidR="00515BF4" w:rsidRPr="00515BF4">
        <w:rPr>
          <w:rFonts w:ascii="Times New Roman" w:hAnsi="Times New Roman" w:cs="Times New Roman"/>
          <w:sz w:val="24"/>
          <w:szCs w:val="24"/>
        </w:rPr>
        <w:t xml:space="preserve">.  Using patent data, I conducted a </w:t>
      </w:r>
      <w:r w:rsidR="00E86DCB">
        <w:rPr>
          <w:rFonts w:ascii="Times New Roman" w:hAnsi="Times New Roman" w:cs="Times New Roman"/>
          <w:sz w:val="24"/>
          <w:szCs w:val="24"/>
        </w:rPr>
        <w:t xml:space="preserve">binary </w:t>
      </w:r>
      <w:r w:rsidR="00167167">
        <w:rPr>
          <w:rFonts w:ascii="Times New Roman" w:hAnsi="Times New Roman" w:cs="Times New Roman"/>
          <w:sz w:val="24"/>
          <w:szCs w:val="24"/>
        </w:rPr>
        <w:t>logistic regression analysis to estimate the probability that a patent will receive more than 2 citations from other patents based on</w:t>
      </w:r>
      <w:r w:rsidR="00515BF4" w:rsidRPr="00515BF4">
        <w:rPr>
          <w:rFonts w:ascii="Times New Roman" w:hAnsi="Times New Roman" w:cs="Times New Roman"/>
          <w:sz w:val="24"/>
          <w:szCs w:val="24"/>
        </w:rPr>
        <w:t xml:space="preserve"> the </w:t>
      </w:r>
      <w:r w:rsidR="00167167">
        <w:rPr>
          <w:rFonts w:ascii="Times New Roman" w:hAnsi="Times New Roman" w:cs="Times New Roman"/>
          <w:sz w:val="24"/>
          <w:szCs w:val="24"/>
        </w:rPr>
        <w:t xml:space="preserve">year the patent was granted, the number of claims contained in the patent, and measures of the </w:t>
      </w:r>
      <w:r w:rsidR="00515BF4" w:rsidRPr="00515BF4">
        <w:rPr>
          <w:rFonts w:ascii="Times New Roman" w:hAnsi="Times New Roman" w:cs="Times New Roman"/>
          <w:sz w:val="24"/>
          <w:szCs w:val="24"/>
        </w:rPr>
        <w:t>patent’s originality</w:t>
      </w:r>
      <w:r w:rsidR="00167167">
        <w:rPr>
          <w:rFonts w:ascii="Times New Roman" w:hAnsi="Times New Roman" w:cs="Times New Roman"/>
          <w:sz w:val="24"/>
          <w:szCs w:val="24"/>
        </w:rPr>
        <w:t xml:space="preserve"> and</w:t>
      </w:r>
      <w:r w:rsidR="00515BF4" w:rsidRPr="00515BF4">
        <w:rPr>
          <w:rFonts w:ascii="Times New Roman" w:hAnsi="Times New Roman" w:cs="Times New Roman"/>
          <w:sz w:val="24"/>
          <w:szCs w:val="24"/>
        </w:rPr>
        <w:t xml:space="preserve"> generality.  The </w:t>
      </w:r>
      <w:r w:rsidR="001D6329">
        <w:rPr>
          <w:rFonts w:ascii="Times New Roman" w:hAnsi="Times New Roman" w:cs="Times New Roman"/>
          <w:sz w:val="24"/>
          <w:szCs w:val="24"/>
        </w:rPr>
        <w:t xml:space="preserve">resulting </w:t>
      </w:r>
      <w:r w:rsidR="00515BF4" w:rsidRPr="00515BF4">
        <w:rPr>
          <w:rFonts w:ascii="Times New Roman" w:hAnsi="Times New Roman" w:cs="Times New Roman"/>
          <w:sz w:val="24"/>
          <w:szCs w:val="24"/>
        </w:rPr>
        <w:t xml:space="preserve">model indicated that the generality of a patent </w:t>
      </w:r>
      <w:r w:rsidR="00167167">
        <w:rPr>
          <w:rFonts w:ascii="Times New Roman" w:hAnsi="Times New Roman" w:cs="Times New Roman"/>
          <w:sz w:val="24"/>
          <w:szCs w:val="24"/>
        </w:rPr>
        <w:t>had the strongest association with whether or not the patent received more than 2 citations from other patents.   T</w:t>
      </w:r>
      <w:r w:rsidR="00515BF4" w:rsidRPr="00515BF4">
        <w:rPr>
          <w:rFonts w:ascii="Times New Roman" w:hAnsi="Times New Roman" w:cs="Times New Roman"/>
          <w:sz w:val="24"/>
          <w:szCs w:val="24"/>
        </w:rPr>
        <w:t>he study</w:t>
      </w:r>
      <w:r w:rsidR="00167167">
        <w:rPr>
          <w:rFonts w:ascii="Times New Roman" w:hAnsi="Times New Roman" w:cs="Times New Roman"/>
          <w:sz w:val="24"/>
          <w:szCs w:val="24"/>
        </w:rPr>
        <w:t xml:space="preserve"> results were also </w:t>
      </w:r>
      <w:r w:rsidR="001D6329">
        <w:rPr>
          <w:rFonts w:ascii="Times New Roman" w:hAnsi="Times New Roman" w:cs="Times New Roman"/>
          <w:sz w:val="24"/>
          <w:szCs w:val="24"/>
        </w:rPr>
        <w:t>consistent previous analyses that</w:t>
      </w:r>
      <w:r w:rsidR="00167167">
        <w:rPr>
          <w:rFonts w:ascii="Times New Roman" w:hAnsi="Times New Roman" w:cs="Times New Roman"/>
          <w:sz w:val="24"/>
          <w:szCs w:val="24"/>
        </w:rPr>
        <w:t xml:space="preserve"> indicated</w:t>
      </w:r>
      <w:r w:rsidR="00515BF4" w:rsidRPr="00515BF4">
        <w:rPr>
          <w:rFonts w:ascii="Times New Roman" w:hAnsi="Times New Roman" w:cs="Times New Roman"/>
          <w:sz w:val="24"/>
          <w:szCs w:val="24"/>
        </w:rPr>
        <w:t xml:space="preserve"> an inverse relationship between the year a patent was granted and </w:t>
      </w:r>
      <w:r w:rsidR="00167167">
        <w:rPr>
          <w:rFonts w:ascii="Times New Roman" w:hAnsi="Times New Roman" w:cs="Times New Roman"/>
          <w:sz w:val="24"/>
          <w:szCs w:val="24"/>
        </w:rPr>
        <w:t xml:space="preserve">the originality of a patent with </w:t>
      </w:r>
      <w:r w:rsidR="00515BF4" w:rsidRPr="00515BF4">
        <w:rPr>
          <w:rFonts w:ascii="Times New Roman" w:hAnsi="Times New Roman" w:cs="Times New Roman"/>
          <w:sz w:val="24"/>
          <w:szCs w:val="24"/>
        </w:rPr>
        <w:t>the</w:t>
      </w:r>
      <w:r w:rsidR="00167167">
        <w:rPr>
          <w:rFonts w:ascii="Times New Roman" w:hAnsi="Times New Roman" w:cs="Times New Roman"/>
          <w:sz w:val="24"/>
          <w:szCs w:val="24"/>
        </w:rPr>
        <w:t xml:space="preserve"> probability that the patent received more than 2 citations from other</w:t>
      </w:r>
      <w:r w:rsidR="00515BF4" w:rsidRPr="00515BF4">
        <w:rPr>
          <w:rFonts w:ascii="Times New Roman" w:hAnsi="Times New Roman" w:cs="Times New Roman"/>
          <w:sz w:val="24"/>
          <w:szCs w:val="24"/>
        </w:rPr>
        <w:t xml:space="preserve"> patent</w:t>
      </w:r>
      <w:r w:rsidR="00167167">
        <w:rPr>
          <w:rFonts w:ascii="Times New Roman" w:hAnsi="Times New Roman" w:cs="Times New Roman"/>
          <w:sz w:val="24"/>
          <w:szCs w:val="24"/>
        </w:rPr>
        <w:t>s</w:t>
      </w:r>
      <w:r w:rsidR="00515BF4" w:rsidRPr="00515BF4">
        <w:rPr>
          <w:rFonts w:ascii="Times New Roman" w:hAnsi="Times New Roman" w:cs="Times New Roman"/>
          <w:sz w:val="24"/>
          <w:szCs w:val="24"/>
        </w:rPr>
        <w:t>.</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BB7F88" w:rsidRDefault="00BB7F88" w:rsidP="00BB7F88">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ment and Budget [OMB]. (2008</w:t>
      </w:r>
      <w:r>
        <w:rPr>
          <w:rFonts w:ascii="Times New Roman" w:hAnsi="Times New Roman" w:cs="Times New Roman"/>
          <w:sz w:val="24"/>
          <w:szCs w:val="24"/>
        </w:rPr>
        <w:t xml:space="preserve">).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Pr>
          <w:rFonts w:ascii="Times New Roman" w:hAnsi="Times New Roman" w:cs="Times New Roman"/>
          <w:sz w:val="24"/>
          <w:szCs w:val="24"/>
        </w:rPr>
        <w:t>{ENTER LINK}</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lastRenderedPageBreak/>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3435C2" w:rsidRDefault="003435C2" w:rsidP="00A14AAF">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9059D6" w:rsidRDefault="009059D6">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DC3C6C">
        <w:rPr>
          <w:rFonts w:ascii="Times New Roman" w:hAnsi="Times New Roman" w:cs="Times New Roman"/>
          <w:sz w:val="24"/>
          <w:szCs w:val="24"/>
        </w:rPr>
        <w:t>Figures and Tables</w:t>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drawing>
          <wp:inline distT="0" distB="0" distL="0" distR="0" wp14:anchorId="5BA80E8D" wp14:editId="59431329">
            <wp:extent cx="5943600" cy="346930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870" t="1500" r="1159"/>
                    <a:stretch/>
                  </pic:blipFill>
                  <pic:spPr bwMode="auto">
                    <a:xfrm>
                      <a:off x="0" y="0"/>
                      <a:ext cx="5943600" cy="3469302"/>
                    </a:xfrm>
                    <a:prstGeom prst="rect">
                      <a:avLst/>
                    </a:prstGeom>
                    <a:noFill/>
                    <a:ln>
                      <a:noFill/>
                    </a:ln>
                    <a:effectLst/>
                    <a:extLst>
                      <a:ext uri="{53640926-AAD7-44D8-BBD7-CCE9431645EC}">
                        <a14:shadowObscured xmlns:a14="http://schemas.microsoft.com/office/drawing/2010/main"/>
                      </a:ext>
                    </a:extLst>
                  </pic:spPr>
                </pic:pic>
              </a:graphicData>
            </a:graphic>
          </wp:inline>
        </w:drawing>
      </w:r>
    </w:p>
    <w:p w:rsidR="009F6BCA" w:rsidRPr="009F6BCA" w:rsidRDefault="009F6BCA" w:rsidP="009F6BCA">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9F6BCA" w:rsidRDefault="009F6BCA" w:rsidP="00D6439B">
      <w:pPr>
        <w:spacing w:after="0" w:line="480" w:lineRule="auto"/>
        <w:rPr>
          <w:rFonts w:ascii="Times New Roman" w:hAnsi="Times New Roman" w:cs="Times New Roman"/>
          <w:sz w:val="24"/>
          <w:szCs w:val="24"/>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PATENT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Patent Number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assigned to the allowed patent by the USPTO.</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integer values between 3070801 and 6009554.</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GDATE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Date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date the USPTO allowed the patent expressed in terms of the number of weeks elapsed since </w:t>
            </w:r>
            <w:r w:rsidRPr="00DA48A2">
              <w:rPr>
                <w:rFonts w:ascii="Times New Roman" w:hAnsi="Times New Roman" w:cs="Times New Roman"/>
                <w:sz w:val="24"/>
                <w:szCs w:val="24"/>
              </w:rPr>
              <w:br/>
              <w:t>January 1, 1960.</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156 and 2,028.</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APPYEAR</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Application Year</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patent application was submitted to the USPTO.</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COUNTRY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Country of First Inventor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country of citizenship for the first inventor listed on the patent application.</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POSTATE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Character</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State of First Inventor (US)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state of residency for the first inventor listed on the patent application if the country of citizenship is the United States of America.</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values of </w:t>
            </w:r>
            <w:proofErr w:type="gramStart"/>
            <w:r w:rsidRPr="00DA48A2">
              <w:rPr>
                <w:rFonts w:ascii="Times New Roman" w:hAnsi="Times New Roman" w:cs="Times New Roman"/>
                <w:sz w:val="24"/>
                <w:szCs w:val="24"/>
              </w:rPr>
              <w:t>two character</w:t>
            </w:r>
            <w:proofErr w:type="gramEnd"/>
            <w:r w:rsidRPr="00DA48A2">
              <w:rPr>
                <w:rFonts w:ascii="Times New Roman" w:hAnsi="Times New Roman" w:cs="Times New Roman"/>
                <w:sz w:val="24"/>
                <w:szCs w:val="24"/>
              </w:rPr>
              <w:t xml:space="preserve"> string data.</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ASSIGNEE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Identifier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Unique identifier for the assignee of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10950 to 99550.</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ASSCODE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Assignee Code</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one character code categorizing the type of assignee.</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values from 1 to 7.</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CLAIMS</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NCLASS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Main Patent Class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code that categorizes the patent into one of several broad classifications.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Source Data Constructed Variables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728"/>
        <w:gridCol w:w="1728"/>
        <w:gridCol w:w="2880"/>
        <w:gridCol w:w="3024"/>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CAT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Category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higher-level classification of the Main Patent Class.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SUBCAT</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Nominal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Technological Sub-category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sub-category of the primary technological category to which the patent is assigned.</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from 1 to 69.</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CMADE</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Citations Made</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CRECEIVE</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in other patents that reference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RATIOCIT</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Percent of Citations Made to Patents Granted Since 1963</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The ratio of the number of citations made by all patents granted since 1963 to the total number of citations made by the </w:t>
            </w:r>
            <w:proofErr w:type="gramStart"/>
            <w:r w:rsidRPr="00DA48A2">
              <w:rPr>
                <w:rFonts w:ascii="Times New Roman" w:hAnsi="Times New Roman" w:cs="Times New Roman"/>
                <w:sz w:val="24"/>
                <w:szCs w:val="24"/>
              </w:rPr>
              <w:t>particular patent</w:t>
            </w:r>
            <w:proofErr w:type="gramEnd"/>
            <w:r w:rsidRPr="00DA48A2">
              <w:rPr>
                <w:rFonts w:ascii="Times New Roman" w:hAnsi="Times New Roman" w:cs="Times New Roman"/>
                <w:sz w:val="24"/>
                <w:szCs w:val="24"/>
              </w:rPr>
              <w:t xml:space="preserve">.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Generality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received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Calculated as the following: </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roofErr w:type="spellStart"/>
            <w:r w:rsidRPr="00DA48A2">
              <w:rPr>
                <w:rFonts w:ascii="Times New Roman" w:hAnsi="Times New Roman" w:cs="Times New Roman"/>
                <w:sz w:val="24"/>
                <w:szCs w:val="24"/>
              </w:rPr>
              <w:t>Originality</w:t>
            </w:r>
            <w:r w:rsidRPr="00DA48A2">
              <w:rPr>
                <w:rFonts w:ascii="Times New Roman" w:hAnsi="Times New Roman" w:cs="Times New Roman"/>
                <w:sz w:val="24"/>
                <w:szCs w:val="24"/>
                <w:vertAlign w:val="subscript"/>
              </w:rPr>
              <w:t>i</w:t>
            </w:r>
            <w:proofErr w:type="spellEnd"/>
            <w:r w:rsidRPr="00DA48A2">
              <w:rPr>
                <w:rFonts w:ascii="Times New Roman" w:hAnsi="Times New Roman" w:cs="Times New Roman"/>
                <w:sz w:val="24"/>
                <w:szCs w:val="24"/>
              </w:rPr>
              <w:t xml:space="preserve"> = 1 -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ij</m:t>
                      </m:r>
                    </m:sub>
                    <m:sup>
                      <m:r>
                        <w:rPr>
                          <w:rFonts w:ascii="Cambria Math" w:hAnsi="Cambria Math" w:cs="Times New Roman"/>
                          <w:sz w:val="24"/>
                          <w:szCs w:val="24"/>
                        </w:rPr>
                        <m:t>2</m:t>
                      </m:r>
                    </m:sup>
                  </m:sSubSup>
                </m:e>
              </m:nary>
            </m:oMath>
            <w:r w:rsidRPr="00DA48A2">
              <w:rPr>
                <w:rFonts w:ascii="Times New Roman" w:eastAsiaTheme="minorEastAsia" w:hAnsi="Times New Roman" w:cs="Times New Roman"/>
                <w:sz w:val="24"/>
                <w:szCs w:val="24"/>
              </w:rPr>
              <w:t xml:space="preserve"> , where </w:t>
            </w:r>
            <w:proofErr w:type="spellStart"/>
            <w:r w:rsidRPr="00DA48A2">
              <w:rPr>
                <w:rFonts w:ascii="Times New Roman" w:eastAsiaTheme="minorEastAsia" w:hAnsi="Times New Roman" w:cs="Times New Roman"/>
                <w:i/>
                <w:sz w:val="24"/>
                <w:szCs w:val="24"/>
              </w:rPr>
              <w:t>s</w:t>
            </w:r>
            <w:r w:rsidRPr="00DA48A2">
              <w:rPr>
                <w:rFonts w:ascii="Times New Roman" w:eastAsiaTheme="minorEastAsia" w:hAnsi="Times New Roman" w:cs="Times New Roman"/>
                <w:i/>
                <w:sz w:val="24"/>
                <w:szCs w:val="24"/>
                <w:vertAlign w:val="subscript"/>
              </w:rPr>
              <w:t>ij</w:t>
            </w:r>
            <w:proofErr w:type="spellEnd"/>
            <w:r w:rsidRPr="00DA48A2">
              <w:rPr>
                <w:rFonts w:ascii="Times New Roman" w:eastAsiaTheme="minorEastAsia" w:hAnsi="Times New Roman" w:cs="Times New Roman"/>
                <w:sz w:val="24"/>
                <w:szCs w:val="24"/>
              </w:rPr>
              <w:t xml:space="preserve"> denotes the percentage of citations made by patent </w:t>
            </w:r>
            <w:proofErr w:type="spellStart"/>
            <w:r w:rsidRPr="00DA48A2">
              <w:rPr>
                <w:rFonts w:ascii="Times New Roman" w:eastAsiaTheme="minorEastAsia" w:hAnsi="Times New Roman" w:cs="Times New Roman"/>
                <w:i/>
                <w:sz w:val="24"/>
                <w:szCs w:val="24"/>
              </w:rPr>
              <w:t>i</w:t>
            </w:r>
            <w:proofErr w:type="spellEnd"/>
            <w:r w:rsidRPr="00DA48A2">
              <w:rPr>
                <w:rFonts w:ascii="Times New Roman" w:eastAsiaTheme="minorEastAsia" w:hAnsi="Times New Roman" w:cs="Times New Roman"/>
                <w:sz w:val="24"/>
                <w:szCs w:val="24"/>
              </w:rPr>
              <w:t xml:space="preserve"> that belong to patent class </w:t>
            </w:r>
            <w:r w:rsidRPr="00DA48A2">
              <w:rPr>
                <w:rFonts w:ascii="Times New Roman" w:eastAsiaTheme="minorEastAsia" w:hAnsi="Times New Roman" w:cs="Times New Roman"/>
                <w:i/>
                <w:sz w:val="24"/>
                <w:szCs w:val="24"/>
              </w:rPr>
              <w:t>j</w:t>
            </w:r>
            <w:r w:rsidRPr="00DA48A2">
              <w:rPr>
                <w:rFonts w:ascii="Times New Roman" w:eastAsiaTheme="minorEastAsia" w:hAnsi="Times New Roman" w:cs="Times New Roman"/>
                <w:sz w:val="24"/>
                <w:szCs w:val="24"/>
              </w:rPr>
              <w:t xml:space="preserve">, out of </w:t>
            </w:r>
            <w:proofErr w:type="spellStart"/>
            <w:r w:rsidRPr="00DA48A2">
              <w:rPr>
                <w:rFonts w:ascii="Times New Roman" w:eastAsiaTheme="minorEastAsia" w:hAnsi="Times New Roman" w:cs="Times New Roman"/>
                <w:i/>
                <w:sz w:val="24"/>
                <w:szCs w:val="24"/>
              </w:rPr>
              <w:t>n</w:t>
            </w:r>
            <w:r w:rsidRPr="00DA48A2">
              <w:rPr>
                <w:rFonts w:ascii="Times New Roman" w:eastAsiaTheme="minorEastAsia" w:hAnsi="Times New Roman" w:cs="Times New Roman"/>
                <w:i/>
                <w:sz w:val="24"/>
                <w:szCs w:val="24"/>
                <w:vertAlign w:val="subscript"/>
              </w:rPr>
              <w:t>i</w:t>
            </w:r>
            <w:proofErr w:type="spellEnd"/>
            <w:r w:rsidRPr="00DA48A2">
              <w:rPr>
                <w:rFonts w:ascii="Times New Roman" w:eastAsiaTheme="minorEastAsia" w:hAnsi="Times New Roman" w:cs="Times New Roman"/>
                <w:sz w:val="24"/>
                <w:szCs w:val="24"/>
              </w:rPr>
              <w:t xml:space="preserve"> patent classes.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FWDAPLAG</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Forward Citation Lag</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other patents citing this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BCKGTLAG</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Mean Backward Citation Lag</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mean time difference between the application or grant date of the patent and that of the patents it cites.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SELFCTUB</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SELFCTLB</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Made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made by the patent to other patents with the same assignee divided by the total number of citations made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SECUPBD</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Upper Bound</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 with assignee codes.</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SECDLWBD</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Share of Self-Citations Received – Lower Bound</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number of citations received by the patent from other patents with the same assignee divided by the total number of citations received by all patents.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Variables Used in Analysis</w:t>
      </w:r>
    </w:p>
    <w:tbl>
      <w:tblPr>
        <w:tblStyle w:val="LightList"/>
        <w:tblW w:w="9360" w:type="dxa"/>
        <w:tblCellMar>
          <w:top w:w="29" w:type="dxa"/>
          <w:left w:w="58" w:type="dxa"/>
          <w:bottom w:w="29" w:type="dxa"/>
          <w:right w:w="58" w:type="dxa"/>
        </w:tblCellMar>
        <w:tblLook w:val="04A0" w:firstRow="1" w:lastRow="0" w:firstColumn="1" w:lastColumn="0" w:noHBand="0" w:noVBand="1"/>
      </w:tblPr>
      <w:tblGrid>
        <w:gridCol w:w="1843"/>
        <w:gridCol w:w="1708"/>
        <w:gridCol w:w="2834"/>
        <w:gridCol w:w="2975"/>
      </w:tblGrid>
      <w:tr w:rsidR="00D6439B" w:rsidRPr="00DA48A2" w:rsidTr="00902F6A">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Variable</w:t>
            </w:r>
          </w:p>
        </w:tc>
        <w:tc>
          <w:tcPr>
            <w:tcW w:w="1728"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Variable Type</w:t>
            </w:r>
          </w:p>
        </w:tc>
        <w:tc>
          <w:tcPr>
            <w:tcW w:w="2880" w:type="dxa"/>
          </w:tcPr>
          <w:p w:rsidR="00D6439B" w:rsidRPr="00DA48A2"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Extended Name</w:t>
            </w:r>
          </w:p>
        </w:tc>
        <w:tc>
          <w:tcPr>
            <w:tcW w:w="3024" w:type="dxa"/>
          </w:tcPr>
          <w:p w:rsidR="00D6439B" w:rsidRPr="00DA48A2"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Description</w:t>
            </w:r>
          </w:p>
        </w:tc>
      </w:tr>
      <w:tr w:rsidR="00D6439B" w:rsidRPr="00DA48A2" w:rsidTr="00902F6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GYEAR</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Grant Year</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The year the USPTO allowed the patent.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integer values between 1963 – 1999.</w:t>
            </w:r>
          </w:p>
        </w:tc>
      </w:tr>
      <w:tr w:rsidR="00D6439B" w:rsidRPr="00DA48A2" w:rsidTr="00902F6A">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CLAIMS</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Interval</w:t>
            </w:r>
          </w:p>
        </w:tc>
        <w:tc>
          <w:tcPr>
            <w:tcW w:w="2880" w:type="dxa"/>
          </w:tcPr>
          <w:p w:rsidR="00D6439B" w:rsidRPr="00DA48A2"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Claims</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Number of independent and dependent claims on the patent.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 xml:space="preserve">Takes on integer values from 1 to </w:t>
            </w:r>
            <m:oMath>
              <m:r>
                <w:rPr>
                  <w:rFonts w:ascii="Cambria Math" w:hAnsi="Cambria Math" w:cs="Times New Roman"/>
                  <w:sz w:val="24"/>
                  <w:szCs w:val="24"/>
                </w:rPr>
                <m:t>∞</m:t>
              </m:r>
            </m:oMath>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CREC</w:t>
            </w:r>
            <w:r>
              <w:rPr>
                <w:rFonts w:ascii="Times New Roman" w:hAnsi="Times New Roman" w:cs="Times New Roman"/>
                <w:sz w:val="24"/>
                <w:szCs w:val="24"/>
              </w:rPr>
              <w:t>BINARY</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Nominal</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No. of Citations Received</w:t>
            </w:r>
          </w:p>
        </w:tc>
        <w:tc>
          <w:tcPr>
            <w:tcW w:w="3024" w:type="dxa"/>
          </w:tcPr>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indicates 0-2 citations</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indicates 3 or more</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w:t>
            </w:r>
            <w:r>
              <w:rPr>
                <w:rFonts w:ascii="Times New Roman" w:hAnsi="Times New Roman" w:cs="Times New Roman"/>
                <w:sz w:val="24"/>
                <w:szCs w:val="24"/>
              </w:rPr>
              <w:t xml:space="preserve"> an</w:t>
            </w:r>
            <w:r w:rsidRPr="00DA48A2">
              <w:rPr>
                <w:rFonts w:ascii="Times New Roman" w:hAnsi="Times New Roman" w:cs="Times New Roman"/>
                <w:sz w:val="24"/>
                <w:szCs w:val="24"/>
              </w:rPr>
              <w:t xml:space="preserve"> integer value</w:t>
            </w:r>
            <w:r>
              <w:rPr>
                <w:rFonts w:ascii="Times New Roman" w:hAnsi="Times New Roman" w:cs="Times New Roman"/>
                <w:sz w:val="24"/>
                <w:szCs w:val="24"/>
              </w:rPr>
              <w:t xml:space="preserve"> of 1 or 2</w:t>
            </w:r>
            <w:r w:rsidRPr="00DA48A2">
              <w:rPr>
                <w:rFonts w:ascii="Times New Roman" w:eastAsiaTheme="minorEastAsia" w:hAnsi="Times New Roman" w:cs="Times New Roman"/>
                <w:sz w:val="24"/>
                <w:szCs w:val="24"/>
              </w:rPr>
              <w:t>.</w:t>
            </w:r>
          </w:p>
        </w:tc>
      </w:tr>
      <w:tr w:rsidR="00D6439B" w:rsidRPr="00DA48A2" w:rsidTr="00902F6A">
        <w:tblPrEx>
          <w:tblCellMar>
            <w:top w:w="0" w:type="dxa"/>
            <w:left w:w="108" w:type="dxa"/>
            <w:bottom w:w="0" w:type="dxa"/>
            <w:right w:w="108" w:type="dxa"/>
          </w:tblCellMar>
        </w:tblPrEx>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t>GENERAL</w:t>
            </w:r>
          </w:p>
        </w:tc>
        <w:tc>
          <w:tcPr>
            <w:tcW w:w="1728"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Generality</w:t>
            </w:r>
          </w:p>
        </w:tc>
        <w:tc>
          <w:tcPr>
            <w:tcW w:w="3024" w:type="dxa"/>
          </w:tcPr>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how broad the influence of a patent spans across fields as determined by the number of different fields of all patents that cite the patent of interest.</w:t>
            </w: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r w:rsidR="00D6439B" w:rsidRPr="00DA48A2" w:rsidTr="00902F6A">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6439B" w:rsidRPr="00DA48A2" w:rsidRDefault="00D6439B" w:rsidP="00902F6A">
            <w:pPr>
              <w:spacing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ORIGINAL</w:t>
            </w:r>
          </w:p>
        </w:tc>
        <w:tc>
          <w:tcPr>
            <w:tcW w:w="1728"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Numeric</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Ratio</w:t>
            </w:r>
          </w:p>
        </w:tc>
        <w:tc>
          <w:tcPr>
            <w:tcW w:w="2880"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Measure of Originality</w:t>
            </w:r>
          </w:p>
        </w:tc>
        <w:tc>
          <w:tcPr>
            <w:tcW w:w="3024" w:type="dxa"/>
          </w:tcPr>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A measure of the originality of a patent as determined by the number of different fields for all patents cited by the patent of interest.</w:t>
            </w: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6439B" w:rsidRPr="00DA48A2"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A48A2">
              <w:rPr>
                <w:rFonts w:ascii="Times New Roman" w:hAnsi="Times New Roman" w:cs="Times New Roman"/>
                <w:sz w:val="24"/>
                <w:szCs w:val="24"/>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9F3399" w:rsidRDefault="009F3399" w:rsidP="009F3399">
      <w:pPr>
        <w:rPr>
          <w:rFonts w:ascii="Times New Roman" w:hAnsi="Times New Roman" w:cs="Times New Roman"/>
          <w:sz w:val="24"/>
          <w:szCs w:val="24"/>
        </w:rPr>
      </w:pPr>
      <w:r>
        <w:rPr>
          <w:rFonts w:ascii="Times New Roman" w:hAnsi="Times New Roman" w:cs="Times New Roman"/>
          <w:sz w:val="24"/>
          <w:szCs w:val="24"/>
        </w:rPr>
        <w:t>Table 1</w:t>
      </w:r>
    </w:p>
    <w:p w:rsidR="009F3399" w:rsidRPr="00BE372A" w:rsidRDefault="009F3399" w:rsidP="009F3399">
      <w:pPr>
        <w:rPr>
          <w:rFonts w:ascii="Times New Roman" w:hAnsi="Times New Roman" w:cs="Times New Roman"/>
          <w:sz w:val="24"/>
          <w:szCs w:val="24"/>
        </w:rPr>
      </w:pPr>
      <w:r>
        <w:rPr>
          <w:rFonts w:ascii="Times New Roman" w:hAnsi="Times New Roman" w:cs="Times New Roman"/>
          <w:sz w:val="24"/>
          <w:szCs w:val="24"/>
        </w:rPr>
        <w:t>Equation Variables</w:t>
      </w:r>
    </w:p>
    <w:tbl>
      <w:tblPr>
        <w:tblW w:w="94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36"/>
        <w:gridCol w:w="1061"/>
        <w:gridCol w:w="990"/>
        <w:gridCol w:w="933"/>
        <w:gridCol w:w="933"/>
        <w:gridCol w:w="933"/>
        <w:gridCol w:w="933"/>
        <w:gridCol w:w="933"/>
        <w:gridCol w:w="933"/>
        <w:gridCol w:w="936"/>
      </w:tblGrid>
      <w:tr w:rsidR="009F3399" w:rsidRPr="00BE372A" w:rsidTr="00D177F2">
        <w:trPr>
          <w:cantSplit/>
          <w:trHeight w:val="341"/>
        </w:trPr>
        <w:tc>
          <w:tcPr>
            <w:tcW w:w="1897" w:type="dxa"/>
            <w:gridSpan w:val="2"/>
            <w:vMerge w:val="restart"/>
            <w:tcBorders>
              <w:top w:val="nil"/>
              <w:left w:val="nil"/>
              <w:bottom w:val="nil"/>
              <w:right w:val="nil"/>
            </w:tcBorders>
            <w:shd w:val="clear" w:color="auto" w:fill="FFFFFF"/>
            <w:vAlign w:val="bottom"/>
          </w:tcPr>
          <w:p w:rsidR="009F3399" w:rsidRPr="00BE372A" w:rsidRDefault="009F3399" w:rsidP="00D177F2">
            <w:pPr>
              <w:autoSpaceDE w:val="0"/>
              <w:autoSpaceDN w:val="0"/>
              <w:adjustRightInd w:val="0"/>
              <w:spacing w:after="0" w:line="240" w:lineRule="auto"/>
              <w:rPr>
                <w:rFonts w:ascii="Times New Roman" w:hAnsi="Times New Roman" w:cs="Times New Roman"/>
                <w:sz w:val="24"/>
                <w:szCs w:val="24"/>
              </w:rPr>
            </w:pPr>
          </w:p>
        </w:tc>
        <w:tc>
          <w:tcPr>
            <w:tcW w:w="990" w:type="dxa"/>
            <w:vMerge w:val="restart"/>
            <w:tcBorders>
              <w:top w:val="nil"/>
              <w:left w:val="nil"/>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B</w:t>
            </w:r>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S.E.</w:t>
            </w:r>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Wald</w:t>
            </w:r>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df</w:t>
            </w:r>
            <w:proofErr w:type="spellEnd"/>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Sig.</w:t>
            </w:r>
          </w:p>
        </w:tc>
        <w:tc>
          <w:tcPr>
            <w:tcW w:w="933" w:type="dxa"/>
            <w:vMerge w:val="restart"/>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BE372A">
              <w:rPr>
                <w:rFonts w:ascii="Arial" w:hAnsi="Arial" w:cs="Arial"/>
                <w:color w:val="264A60"/>
                <w:sz w:val="18"/>
                <w:szCs w:val="18"/>
              </w:rPr>
              <w:t>Exp</w:t>
            </w:r>
            <w:proofErr w:type="spellEnd"/>
            <w:r w:rsidRPr="00BE372A">
              <w:rPr>
                <w:rFonts w:ascii="Arial" w:hAnsi="Arial" w:cs="Arial"/>
                <w:color w:val="264A60"/>
                <w:sz w:val="18"/>
                <w:szCs w:val="18"/>
              </w:rPr>
              <w:t>(B)</w:t>
            </w:r>
          </w:p>
        </w:tc>
        <w:tc>
          <w:tcPr>
            <w:tcW w:w="1869" w:type="dxa"/>
            <w:gridSpan w:val="2"/>
            <w:tcBorders>
              <w:top w:val="nil"/>
              <w:left w:val="single" w:sz="8" w:space="0" w:color="E0E0E0"/>
              <w:bottom w:val="nil"/>
              <w:right w:val="nil"/>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 xml:space="preserve">95% </w:t>
            </w:r>
            <w:proofErr w:type="spellStart"/>
            <w:r w:rsidRPr="00BE372A">
              <w:rPr>
                <w:rFonts w:ascii="Arial" w:hAnsi="Arial" w:cs="Arial"/>
                <w:color w:val="264A60"/>
                <w:sz w:val="18"/>
                <w:szCs w:val="18"/>
              </w:rPr>
              <w:t>C.I.for</w:t>
            </w:r>
            <w:proofErr w:type="spellEnd"/>
            <w:r w:rsidRPr="00BE372A">
              <w:rPr>
                <w:rFonts w:ascii="Arial" w:hAnsi="Arial" w:cs="Arial"/>
                <w:color w:val="264A60"/>
                <w:sz w:val="18"/>
                <w:szCs w:val="18"/>
              </w:rPr>
              <w:t xml:space="preserve"> EXP(B)</w:t>
            </w:r>
          </w:p>
        </w:tc>
      </w:tr>
      <w:tr w:rsidR="009F3399" w:rsidRPr="00BE372A" w:rsidTr="00D177F2">
        <w:trPr>
          <w:cantSplit/>
          <w:trHeight w:val="157"/>
        </w:trPr>
        <w:tc>
          <w:tcPr>
            <w:tcW w:w="1897" w:type="dxa"/>
            <w:gridSpan w:val="2"/>
            <w:vMerge/>
            <w:tcBorders>
              <w:top w:val="nil"/>
              <w:left w:val="nil"/>
              <w:bottom w:val="nil"/>
              <w:right w:val="nil"/>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90" w:type="dxa"/>
            <w:vMerge/>
            <w:tcBorders>
              <w:top w:val="nil"/>
              <w:left w:val="nil"/>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33" w:type="dxa"/>
            <w:vMerge/>
            <w:tcBorders>
              <w:top w:val="nil"/>
              <w:left w:val="single" w:sz="8" w:space="0" w:color="E0E0E0"/>
              <w:bottom w:val="nil"/>
              <w:right w:val="single" w:sz="8" w:space="0" w:color="E0E0E0"/>
            </w:tcBorders>
            <w:shd w:val="clear" w:color="auto" w:fill="FFFFFF"/>
            <w:vAlign w:val="bottom"/>
          </w:tcPr>
          <w:p w:rsidR="009F3399" w:rsidRPr="00BE372A" w:rsidRDefault="009F3399" w:rsidP="00D177F2">
            <w:pPr>
              <w:autoSpaceDE w:val="0"/>
              <w:autoSpaceDN w:val="0"/>
              <w:adjustRightInd w:val="0"/>
              <w:spacing w:after="0" w:line="240" w:lineRule="auto"/>
              <w:rPr>
                <w:rFonts w:ascii="Arial" w:hAnsi="Arial" w:cs="Arial"/>
                <w:color w:val="264A60"/>
                <w:sz w:val="18"/>
                <w:szCs w:val="18"/>
              </w:rPr>
            </w:pPr>
          </w:p>
        </w:tc>
        <w:tc>
          <w:tcPr>
            <w:tcW w:w="933" w:type="dxa"/>
            <w:tcBorders>
              <w:top w:val="nil"/>
              <w:left w:val="single" w:sz="8" w:space="0" w:color="E0E0E0"/>
              <w:bottom w:val="single" w:sz="8" w:space="0" w:color="152935"/>
              <w:right w:val="single" w:sz="8" w:space="0" w:color="E0E0E0"/>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Lower</w:t>
            </w:r>
          </w:p>
        </w:tc>
        <w:tc>
          <w:tcPr>
            <w:tcW w:w="936" w:type="dxa"/>
            <w:tcBorders>
              <w:top w:val="nil"/>
              <w:left w:val="single" w:sz="8" w:space="0" w:color="E0E0E0"/>
              <w:bottom w:val="single" w:sz="8" w:space="0" w:color="152935"/>
              <w:right w:val="nil"/>
            </w:tcBorders>
            <w:shd w:val="clear" w:color="auto" w:fill="FFFFFF"/>
            <w:vAlign w:val="bottom"/>
          </w:tcPr>
          <w:p w:rsidR="009F3399" w:rsidRPr="00BE372A"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BE372A">
              <w:rPr>
                <w:rFonts w:ascii="Arial" w:hAnsi="Arial" w:cs="Arial"/>
                <w:color w:val="264A60"/>
                <w:sz w:val="18"/>
                <w:szCs w:val="18"/>
              </w:rPr>
              <w:t>Upper</w:t>
            </w:r>
          </w:p>
        </w:tc>
      </w:tr>
      <w:tr w:rsidR="009F3399" w:rsidRPr="00BE372A" w:rsidTr="00D177F2">
        <w:trPr>
          <w:cantSplit/>
          <w:trHeight w:val="356"/>
        </w:trPr>
        <w:tc>
          <w:tcPr>
            <w:tcW w:w="836" w:type="dxa"/>
            <w:vMerge w:val="restart"/>
            <w:tcBorders>
              <w:top w:val="single" w:sz="8" w:space="0" w:color="152935"/>
              <w:left w:val="nil"/>
              <w:bottom w:val="single" w:sz="8" w:space="0" w:color="152935"/>
              <w:right w:val="nil"/>
            </w:tcBorders>
            <w:shd w:val="clear" w:color="auto" w:fill="E0E0E0"/>
          </w:tcPr>
          <w:p w:rsidR="009F3399" w:rsidRPr="00BE372A" w:rsidRDefault="009F3399" w:rsidP="00D177F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Step 1</w:t>
            </w:r>
            <w:r w:rsidRPr="00BE372A">
              <w:rPr>
                <w:rFonts w:ascii="Arial" w:hAnsi="Arial" w:cs="Arial"/>
                <w:color w:val="264A60"/>
                <w:sz w:val="18"/>
                <w:szCs w:val="18"/>
                <w:vertAlign w:val="superscript"/>
              </w:rPr>
              <w:t>a</w:t>
            </w:r>
          </w:p>
        </w:tc>
        <w:tc>
          <w:tcPr>
            <w:tcW w:w="1061" w:type="dxa"/>
            <w:tcBorders>
              <w:top w:val="single" w:sz="8" w:space="0" w:color="152935"/>
              <w:left w:val="nil"/>
              <w:bottom w:val="single" w:sz="8" w:space="0" w:color="AEAEAE"/>
              <w:right w:val="nil"/>
            </w:tcBorders>
            <w:shd w:val="clear" w:color="auto" w:fill="E0E0E0"/>
          </w:tcPr>
          <w:p w:rsidR="009F3399" w:rsidRPr="00BE372A" w:rsidRDefault="009F3399" w:rsidP="00D177F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CLAIMS</w:t>
            </w:r>
          </w:p>
        </w:tc>
        <w:tc>
          <w:tcPr>
            <w:tcW w:w="990" w:type="dxa"/>
            <w:tcBorders>
              <w:top w:val="single" w:sz="8" w:space="0" w:color="152935"/>
              <w:left w:val="nil"/>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10.124</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.001</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1.015</w:t>
            </w:r>
          </w:p>
        </w:tc>
        <w:tc>
          <w:tcPr>
            <w:tcW w:w="933" w:type="dxa"/>
            <w:tcBorders>
              <w:top w:val="single" w:sz="8" w:space="0" w:color="152935"/>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1.006</w:t>
            </w:r>
          </w:p>
        </w:tc>
        <w:tc>
          <w:tcPr>
            <w:tcW w:w="936" w:type="dxa"/>
            <w:tcBorders>
              <w:top w:val="single" w:sz="8" w:space="0" w:color="152935"/>
              <w:left w:val="single" w:sz="8" w:space="0" w:color="E0E0E0"/>
              <w:bottom w:val="single" w:sz="8" w:space="0" w:color="AEAEAE"/>
              <w:right w:val="nil"/>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1.024</w:t>
            </w:r>
          </w:p>
        </w:tc>
      </w:tr>
      <w:tr w:rsidR="009F3399" w:rsidRPr="00BE372A" w:rsidTr="00D177F2">
        <w:trPr>
          <w:cantSplit/>
          <w:trHeight w:val="157"/>
        </w:trPr>
        <w:tc>
          <w:tcPr>
            <w:tcW w:w="836" w:type="dxa"/>
            <w:vMerge/>
            <w:tcBorders>
              <w:top w:val="single" w:sz="8" w:space="0" w:color="152935"/>
              <w:left w:val="nil"/>
              <w:bottom w:val="single" w:sz="8" w:space="0" w:color="152935"/>
              <w:right w:val="nil"/>
            </w:tcBorders>
            <w:shd w:val="clear" w:color="auto" w:fill="E0E0E0"/>
          </w:tcPr>
          <w:p w:rsidR="009F3399" w:rsidRPr="00BE372A" w:rsidRDefault="009F3399" w:rsidP="00D177F2">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9F3399" w:rsidRPr="00BE372A" w:rsidRDefault="009F3399" w:rsidP="00D177F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GYEAR</w:t>
            </w:r>
          </w:p>
        </w:tc>
        <w:tc>
          <w:tcPr>
            <w:tcW w:w="990" w:type="dxa"/>
            <w:tcBorders>
              <w:top w:val="single" w:sz="8" w:space="0" w:color="AEAEAE"/>
              <w:left w:val="nil"/>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.057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86.717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.589</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.527</w:t>
            </w:r>
          </w:p>
        </w:tc>
        <w:tc>
          <w:tcPr>
            <w:tcW w:w="936" w:type="dxa"/>
            <w:tcBorders>
              <w:top w:val="single" w:sz="8" w:space="0" w:color="AEAEAE"/>
              <w:left w:val="single" w:sz="8" w:space="0" w:color="E0E0E0"/>
              <w:bottom w:val="single" w:sz="8" w:space="0" w:color="AEAEAE"/>
              <w:right w:val="nil"/>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.659</w:t>
            </w:r>
          </w:p>
        </w:tc>
      </w:tr>
      <w:tr w:rsidR="009F3399" w:rsidRPr="00BE372A" w:rsidTr="00D177F2">
        <w:trPr>
          <w:cantSplit/>
          <w:trHeight w:val="157"/>
        </w:trPr>
        <w:tc>
          <w:tcPr>
            <w:tcW w:w="836" w:type="dxa"/>
            <w:vMerge/>
            <w:tcBorders>
              <w:top w:val="single" w:sz="8" w:space="0" w:color="152935"/>
              <w:left w:val="nil"/>
              <w:bottom w:val="single" w:sz="8" w:space="0" w:color="152935"/>
              <w:right w:val="nil"/>
            </w:tcBorders>
            <w:shd w:val="clear" w:color="auto" w:fill="E0E0E0"/>
          </w:tcPr>
          <w:p w:rsidR="009F3399" w:rsidRPr="00BE372A" w:rsidRDefault="009F3399" w:rsidP="00D177F2">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9F3399" w:rsidRPr="00BE372A" w:rsidRDefault="009F3399" w:rsidP="00D177F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GENERAL</w:t>
            </w:r>
          </w:p>
        </w:tc>
        <w:tc>
          <w:tcPr>
            <w:tcW w:w="990" w:type="dxa"/>
            <w:tcBorders>
              <w:top w:val="single" w:sz="8" w:space="0" w:color="AEAEAE"/>
              <w:left w:val="nil"/>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4.733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.235</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407.101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113.641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71.756</w:t>
            </w:r>
          </w:p>
        </w:tc>
        <w:tc>
          <w:tcPr>
            <w:tcW w:w="936" w:type="dxa"/>
            <w:tcBorders>
              <w:top w:val="single" w:sz="8" w:space="0" w:color="AEAEAE"/>
              <w:left w:val="single" w:sz="8" w:space="0" w:color="E0E0E0"/>
              <w:bottom w:val="single" w:sz="8" w:space="0" w:color="AEAEAE"/>
              <w:right w:val="nil"/>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179.973</w:t>
            </w:r>
          </w:p>
        </w:tc>
      </w:tr>
      <w:tr w:rsidR="009F3399" w:rsidRPr="00BE372A" w:rsidTr="00D177F2">
        <w:trPr>
          <w:cantSplit/>
          <w:trHeight w:val="157"/>
        </w:trPr>
        <w:tc>
          <w:tcPr>
            <w:tcW w:w="836" w:type="dxa"/>
            <w:vMerge/>
            <w:tcBorders>
              <w:top w:val="single" w:sz="8" w:space="0" w:color="152935"/>
              <w:left w:val="nil"/>
              <w:bottom w:val="single" w:sz="8" w:space="0" w:color="152935"/>
              <w:right w:val="nil"/>
            </w:tcBorders>
            <w:shd w:val="clear" w:color="auto" w:fill="E0E0E0"/>
          </w:tcPr>
          <w:p w:rsidR="009F3399" w:rsidRPr="00BE372A" w:rsidRDefault="009F3399" w:rsidP="00D177F2">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AEAEAE"/>
              <w:right w:val="nil"/>
            </w:tcBorders>
            <w:shd w:val="clear" w:color="auto" w:fill="E0E0E0"/>
          </w:tcPr>
          <w:p w:rsidR="009F3399" w:rsidRPr="00BE372A" w:rsidRDefault="009F3399" w:rsidP="00D177F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ORIGINAL</w:t>
            </w:r>
          </w:p>
        </w:tc>
        <w:tc>
          <w:tcPr>
            <w:tcW w:w="990" w:type="dxa"/>
            <w:tcBorders>
              <w:top w:val="single" w:sz="8" w:space="0" w:color="AEAEAE"/>
              <w:left w:val="nil"/>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-.627</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.213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.003</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.534</w:t>
            </w:r>
          </w:p>
        </w:tc>
        <w:tc>
          <w:tcPr>
            <w:tcW w:w="933" w:type="dxa"/>
            <w:tcBorders>
              <w:top w:val="single" w:sz="8" w:space="0" w:color="AEAEAE"/>
              <w:left w:val="single" w:sz="8" w:space="0" w:color="E0E0E0"/>
              <w:bottom w:val="single" w:sz="8" w:space="0" w:color="AEAEAE"/>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.352</w:t>
            </w:r>
          </w:p>
        </w:tc>
        <w:tc>
          <w:tcPr>
            <w:tcW w:w="936" w:type="dxa"/>
            <w:tcBorders>
              <w:top w:val="single" w:sz="8" w:space="0" w:color="AEAEAE"/>
              <w:left w:val="single" w:sz="8" w:space="0" w:color="E0E0E0"/>
              <w:bottom w:val="single" w:sz="8" w:space="0" w:color="AEAEAE"/>
              <w:right w:val="nil"/>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.811</w:t>
            </w:r>
          </w:p>
        </w:tc>
      </w:tr>
      <w:tr w:rsidR="009F3399" w:rsidRPr="00BE372A" w:rsidTr="00D177F2">
        <w:trPr>
          <w:cantSplit/>
          <w:trHeight w:val="157"/>
        </w:trPr>
        <w:tc>
          <w:tcPr>
            <w:tcW w:w="836" w:type="dxa"/>
            <w:vMerge/>
            <w:tcBorders>
              <w:top w:val="single" w:sz="8" w:space="0" w:color="152935"/>
              <w:left w:val="nil"/>
              <w:bottom w:val="single" w:sz="8" w:space="0" w:color="152935"/>
              <w:right w:val="nil"/>
            </w:tcBorders>
            <w:shd w:val="clear" w:color="auto" w:fill="E0E0E0"/>
          </w:tcPr>
          <w:p w:rsidR="009F3399" w:rsidRPr="00BE372A" w:rsidRDefault="009F3399" w:rsidP="00D177F2">
            <w:pPr>
              <w:autoSpaceDE w:val="0"/>
              <w:autoSpaceDN w:val="0"/>
              <w:adjustRightInd w:val="0"/>
              <w:spacing w:after="0" w:line="240" w:lineRule="auto"/>
              <w:rPr>
                <w:rFonts w:ascii="Arial" w:hAnsi="Arial" w:cs="Arial"/>
                <w:color w:val="010205"/>
                <w:sz w:val="18"/>
                <w:szCs w:val="18"/>
              </w:rPr>
            </w:pPr>
          </w:p>
        </w:tc>
        <w:tc>
          <w:tcPr>
            <w:tcW w:w="1061" w:type="dxa"/>
            <w:tcBorders>
              <w:top w:val="single" w:sz="8" w:space="0" w:color="AEAEAE"/>
              <w:left w:val="nil"/>
              <w:bottom w:val="single" w:sz="8" w:space="0" w:color="152935"/>
              <w:right w:val="nil"/>
            </w:tcBorders>
            <w:shd w:val="clear" w:color="auto" w:fill="E0E0E0"/>
          </w:tcPr>
          <w:p w:rsidR="009F3399" w:rsidRPr="00BE372A" w:rsidRDefault="009F3399" w:rsidP="00D177F2">
            <w:pPr>
              <w:autoSpaceDE w:val="0"/>
              <w:autoSpaceDN w:val="0"/>
              <w:adjustRightInd w:val="0"/>
              <w:spacing w:after="0" w:line="320" w:lineRule="atLeast"/>
              <w:ind w:left="60" w:right="60"/>
              <w:rPr>
                <w:rFonts w:ascii="Arial" w:hAnsi="Arial" w:cs="Arial"/>
                <w:color w:val="264A60"/>
                <w:sz w:val="18"/>
                <w:szCs w:val="18"/>
              </w:rPr>
            </w:pPr>
            <w:r w:rsidRPr="00BE372A">
              <w:rPr>
                <w:rFonts w:ascii="Arial" w:hAnsi="Arial" w:cs="Arial"/>
                <w:color w:val="264A60"/>
                <w:sz w:val="18"/>
                <w:szCs w:val="18"/>
              </w:rPr>
              <w:t>Constant</w:t>
            </w:r>
          </w:p>
        </w:tc>
        <w:tc>
          <w:tcPr>
            <w:tcW w:w="990" w:type="dxa"/>
            <w:tcBorders>
              <w:top w:val="single" w:sz="8" w:space="0" w:color="AEAEAE"/>
              <w:left w:val="nil"/>
              <w:bottom w:val="single" w:sz="8" w:space="0" w:color="152935"/>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1054.771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113.408</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86.502</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1</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.000</w:t>
            </w:r>
          </w:p>
        </w:tc>
        <w:tc>
          <w:tcPr>
            <w:tcW w:w="933" w:type="dxa"/>
            <w:tcBorders>
              <w:top w:val="single" w:sz="8" w:space="0" w:color="AEAEAE"/>
              <w:left w:val="single" w:sz="8" w:space="0" w:color="E0E0E0"/>
              <w:bottom w:val="single" w:sz="8" w:space="0" w:color="152935"/>
              <w:right w:val="single" w:sz="8" w:space="0" w:color="E0E0E0"/>
            </w:tcBorders>
            <w:shd w:val="clear" w:color="auto" w:fill="FFFFFF"/>
          </w:tcPr>
          <w:p w:rsidR="009F3399" w:rsidRPr="00BE372A"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BE372A">
              <w:rPr>
                <w:rFonts w:ascii="Arial" w:hAnsi="Arial" w:cs="Arial"/>
                <w:color w:val="010205"/>
                <w:sz w:val="18"/>
                <w:szCs w:val="18"/>
              </w:rPr>
              <w:t>.</w:t>
            </w:r>
          </w:p>
        </w:tc>
        <w:tc>
          <w:tcPr>
            <w:tcW w:w="93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9F3399" w:rsidRPr="00BE372A" w:rsidRDefault="009F3399" w:rsidP="00D177F2">
            <w:pPr>
              <w:autoSpaceDE w:val="0"/>
              <w:autoSpaceDN w:val="0"/>
              <w:adjustRightInd w:val="0"/>
              <w:spacing w:after="0" w:line="240" w:lineRule="auto"/>
              <w:rPr>
                <w:rFonts w:ascii="Times New Roman" w:hAnsi="Times New Roman" w:cs="Times New Roman"/>
                <w:sz w:val="24"/>
                <w:szCs w:val="24"/>
              </w:rPr>
            </w:pPr>
          </w:p>
        </w:tc>
        <w:tc>
          <w:tcPr>
            <w:tcW w:w="936" w:type="dxa"/>
            <w:tcBorders>
              <w:top w:val="single" w:sz="8" w:space="0" w:color="AEAEAE"/>
              <w:left w:val="single" w:sz="8" w:space="0" w:color="E0E0E0"/>
              <w:bottom w:val="single" w:sz="8" w:space="0" w:color="152935"/>
              <w:right w:val="nil"/>
            </w:tcBorders>
            <w:shd w:val="clear" w:color="auto" w:fill="FFFFFF"/>
            <w:vAlign w:val="center"/>
          </w:tcPr>
          <w:p w:rsidR="009F3399" w:rsidRPr="00BE372A" w:rsidRDefault="009F3399" w:rsidP="00D177F2">
            <w:pPr>
              <w:autoSpaceDE w:val="0"/>
              <w:autoSpaceDN w:val="0"/>
              <w:adjustRightInd w:val="0"/>
              <w:spacing w:after="0" w:line="240" w:lineRule="auto"/>
              <w:rPr>
                <w:rFonts w:ascii="Times New Roman" w:hAnsi="Times New Roman" w:cs="Times New Roman"/>
                <w:sz w:val="24"/>
                <w:szCs w:val="24"/>
              </w:rPr>
            </w:pPr>
          </w:p>
        </w:tc>
      </w:tr>
      <w:tr w:rsidR="009F3399" w:rsidRPr="00BE372A" w:rsidTr="00D177F2">
        <w:trPr>
          <w:cantSplit/>
          <w:trHeight w:val="356"/>
        </w:trPr>
        <w:tc>
          <w:tcPr>
            <w:tcW w:w="9421" w:type="dxa"/>
            <w:gridSpan w:val="10"/>
            <w:tcBorders>
              <w:top w:val="nil"/>
              <w:left w:val="nil"/>
              <w:bottom w:val="nil"/>
              <w:right w:val="nil"/>
            </w:tcBorders>
            <w:shd w:val="clear" w:color="auto" w:fill="FFFFFF"/>
          </w:tcPr>
          <w:p w:rsidR="009F3399" w:rsidRPr="00BE372A" w:rsidRDefault="009F3399" w:rsidP="00D177F2">
            <w:pPr>
              <w:autoSpaceDE w:val="0"/>
              <w:autoSpaceDN w:val="0"/>
              <w:adjustRightInd w:val="0"/>
              <w:spacing w:after="0" w:line="320" w:lineRule="atLeast"/>
              <w:ind w:left="60" w:right="60"/>
              <w:rPr>
                <w:rFonts w:ascii="Arial" w:hAnsi="Arial" w:cs="Arial"/>
                <w:color w:val="010205"/>
                <w:sz w:val="18"/>
                <w:szCs w:val="18"/>
              </w:rPr>
            </w:pPr>
            <w:r w:rsidRPr="00BE372A">
              <w:rPr>
                <w:rFonts w:ascii="Arial" w:hAnsi="Arial" w:cs="Arial"/>
                <w:color w:val="010205"/>
                <w:sz w:val="18"/>
                <w:szCs w:val="18"/>
              </w:rPr>
              <w:t>a. Variable(s) entered on step 1: CLAIMS, GYEAR, GENERAL, ORIGINAL.</w:t>
            </w:r>
          </w:p>
        </w:tc>
      </w:tr>
    </w:tbl>
    <w:p w:rsidR="00D6439B" w:rsidRDefault="00D6439B"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9F3399"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Table 2</w:t>
      </w:r>
    </w:p>
    <w:p w:rsidR="009F3399" w:rsidRPr="00745555" w:rsidRDefault="009F3399"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Omnibus Test of Model Coefficients</w:t>
      </w:r>
    </w:p>
    <w:tbl>
      <w:tblPr>
        <w:tblW w:w="49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5"/>
        <w:gridCol w:w="796"/>
        <w:gridCol w:w="1239"/>
        <w:gridCol w:w="1025"/>
        <w:gridCol w:w="1025"/>
      </w:tblGrid>
      <w:tr w:rsidR="009F3399" w:rsidRPr="00745555" w:rsidTr="00D177F2">
        <w:trPr>
          <w:cantSplit/>
        </w:trPr>
        <w:tc>
          <w:tcPr>
            <w:tcW w:w="1621" w:type="dxa"/>
            <w:gridSpan w:val="2"/>
            <w:tcBorders>
              <w:top w:val="nil"/>
              <w:left w:val="nil"/>
              <w:bottom w:val="single" w:sz="8" w:space="0" w:color="152935"/>
              <w:right w:val="nil"/>
            </w:tcBorders>
            <w:shd w:val="clear" w:color="auto" w:fill="FFFFFF"/>
            <w:vAlign w:val="bottom"/>
          </w:tcPr>
          <w:p w:rsidR="009F3399" w:rsidRPr="00745555" w:rsidRDefault="009F3399" w:rsidP="00D177F2">
            <w:pPr>
              <w:autoSpaceDE w:val="0"/>
              <w:autoSpaceDN w:val="0"/>
              <w:adjustRightInd w:val="0"/>
              <w:spacing w:after="0" w:line="240" w:lineRule="auto"/>
              <w:rPr>
                <w:rFonts w:ascii="Times New Roman" w:hAnsi="Times New Roman" w:cs="Times New Roman"/>
                <w:sz w:val="24"/>
                <w:szCs w:val="24"/>
              </w:rPr>
            </w:pPr>
          </w:p>
        </w:tc>
        <w:tc>
          <w:tcPr>
            <w:tcW w:w="1239" w:type="dxa"/>
            <w:tcBorders>
              <w:top w:val="nil"/>
              <w:left w:val="nil"/>
              <w:bottom w:val="single" w:sz="8" w:space="0" w:color="152935"/>
              <w:right w:val="single" w:sz="8" w:space="0" w:color="E0E0E0"/>
            </w:tcBorders>
            <w:shd w:val="clear" w:color="auto" w:fill="FFFFFF"/>
            <w:vAlign w:val="bottom"/>
          </w:tcPr>
          <w:p w:rsidR="009F3399" w:rsidRPr="00745555"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9F3399" w:rsidRPr="00745555"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745555">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9F3399" w:rsidRPr="00745555"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745555">
              <w:rPr>
                <w:rFonts w:ascii="Arial" w:hAnsi="Arial" w:cs="Arial"/>
                <w:color w:val="264A60"/>
                <w:sz w:val="18"/>
                <w:szCs w:val="18"/>
              </w:rPr>
              <w:t>Sig.</w:t>
            </w:r>
          </w:p>
        </w:tc>
      </w:tr>
      <w:tr w:rsidR="009F3399" w:rsidRPr="00745555" w:rsidTr="00D177F2">
        <w:trPr>
          <w:cantSplit/>
        </w:trPr>
        <w:tc>
          <w:tcPr>
            <w:tcW w:w="825" w:type="dxa"/>
            <w:vMerge w:val="restart"/>
            <w:tcBorders>
              <w:top w:val="single" w:sz="8" w:space="0" w:color="152935"/>
              <w:left w:val="nil"/>
              <w:bottom w:val="single" w:sz="8" w:space="0" w:color="152935"/>
              <w:right w:val="nil"/>
            </w:tcBorders>
            <w:shd w:val="clear" w:color="auto" w:fill="E0E0E0"/>
          </w:tcPr>
          <w:p w:rsidR="009F3399" w:rsidRPr="00745555" w:rsidRDefault="009F3399" w:rsidP="00D177F2">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 1</w:t>
            </w:r>
          </w:p>
        </w:tc>
        <w:tc>
          <w:tcPr>
            <w:tcW w:w="796" w:type="dxa"/>
            <w:tcBorders>
              <w:top w:val="single" w:sz="8" w:space="0" w:color="152935"/>
              <w:left w:val="nil"/>
              <w:bottom w:val="single" w:sz="8" w:space="0" w:color="AEAEAE"/>
              <w:right w:val="nil"/>
            </w:tcBorders>
            <w:shd w:val="clear" w:color="auto" w:fill="E0E0E0"/>
          </w:tcPr>
          <w:p w:rsidR="009F3399" w:rsidRPr="00745555" w:rsidRDefault="009F3399" w:rsidP="00D177F2">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Step</w:t>
            </w:r>
          </w:p>
        </w:tc>
        <w:tc>
          <w:tcPr>
            <w:tcW w:w="1239" w:type="dxa"/>
            <w:tcBorders>
              <w:top w:val="single" w:sz="8" w:space="0" w:color="152935"/>
              <w:left w:val="nil"/>
              <w:bottom w:val="single" w:sz="8" w:space="0" w:color="AEAEAE"/>
              <w:right w:val="single" w:sz="8" w:space="0" w:color="E0E0E0"/>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152935"/>
              <w:left w:val="single" w:sz="8" w:space="0" w:color="E0E0E0"/>
              <w:bottom w:val="single" w:sz="8" w:space="0" w:color="AEAEAE"/>
              <w:right w:val="single" w:sz="8" w:space="0" w:color="E0E0E0"/>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152935"/>
              <w:left w:val="single" w:sz="8" w:space="0" w:color="E0E0E0"/>
              <w:bottom w:val="single" w:sz="8" w:space="0" w:color="AEAEAE"/>
              <w:right w:val="nil"/>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9F3399" w:rsidRPr="00745555" w:rsidTr="00D177F2">
        <w:trPr>
          <w:cantSplit/>
        </w:trPr>
        <w:tc>
          <w:tcPr>
            <w:tcW w:w="825" w:type="dxa"/>
            <w:vMerge/>
            <w:tcBorders>
              <w:top w:val="single" w:sz="8" w:space="0" w:color="152935"/>
              <w:left w:val="nil"/>
              <w:bottom w:val="single" w:sz="8" w:space="0" w:color="152935"/>
              <w:right w:val="nil"/>
            </w:tcBorders>
            <w:shd w:val="clear" w:color="auto" w:fill="E0E0E0"/>
          </w:tcPr>
          <w:p w:rsidR="009F3399" w:rsidRPr="00745555" w:rsidRDefault="009F3399" w:rsidP="00D177F2">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AEAEAE"/>
              <w:right w:val="nil"/>
            </w:tcBorders>
            <w:shd w:val="clear" w:color="auto" w:fill="E0E0E0"/>
          </w:tcPr>
          <w:p w:rsidR="009F3399" w:rsidRPr="00745555" w:rsidRDefault="009F3399" w:rsidP="00D177F2">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Block</w:t>
            </w:r>
          </w:p>
        </w:tc>
        <w:tc>
          <w:tcPr>
            <w:tcW w:w="1239" w:type="dxa"/>
            <w:tcBorders>
              <w:top w:val="single" w:sz="8" w:space="0" w:color="AEAEAE"/>
              <w:left w:val="nil"/>
              <w:bottom w:val="single" w:sz="8" w:space="0" w:color="AEAEAE"/>
              <w:right w:val="single" w:sz="8" w:space="0" w:color="E0E0E0"/>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AEAEAE"/>
              <w:right w:val="single" w:sz="8" w:space="0" w:color="E0E0E0"/>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AEAEAE"/>
              <w:right w:val="nil"/>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r w:rsidR="009F3399" w:rsidRPr="00745555" w:rsidTr="00D177F2">
        <w:trPr>
          <w:cantSplit/>
        </w:trPr>
        <w:tc>
          <w:tcPr>
            <w:tcW w:w="825" w:type="dxa"/>
            <w:vMerge/>
            <w:tcBorders>
              <w:top w:val="single" w:sz="8" w:space="0" w:color="152935"/>
              <w:left w:val="nil"/>
              <w:bottom w:val="single" w:sz="8" w:space="0" w:color="152935"/>
              <w:right w:val="nil"/>
            </w:tcBorders>
            <w:shd w:val="clear" w:color="auto" w:fill="E0E0E0"/>
          </w:tcPr>
          <w:p w:rsidR="009F3399" w:rsidRPr="00745555" w:rsidRDefault="009F3399" w:rsidP="00D177F2">
            <w:pPr>
              <w:autoSpaceDE w:val="0"/>
              <w:autoSpaceDN w:val="0"/>
              <w:adjustRightInd w:val="0"/>
              <w:spacing w:after="0" w:line="240" w:lineRule="auto"/>
              <w:rPr>
                <w:rFonts w:ascii="Arial" w:hAnsi="Arial" w:cs="Arial"/>
                <w:color w:val="010205"/>
                <w:sz w:val="18"/>
                <w:szCs w:val="18"/>
              </w:rPr>
            </w:pPr>
          </w:p>
        </w:tc>
        <w:tc>
          <w:tcPr>
            <w:tcW w:w="796" w:type="dxa"/>
            <w:tcBorders>
              <w:top w:val="single" w:sz="8" w:space="0" w:color="AEAEAE"/>
              <w:left w:val="nil"/>
              <w:bottom w:val="single" w:sz="8" w:space="0" w:color="152935"/>
              <w:right w:val="nil"/>
            </w:tcBorders>
            <w:shd w:val="clear" w:color="auto" w:fill="E0E0E0"/>
          </w:tcPr>
          <w:p w:rsidR="009F3399" w:rsidRPr="00745555" w:rsidRDefault="009F3399" w:rsidP="00D177F2">
            <w:pPr>
              <w:autoSpaceDE w:val="0"/>
              <w:autoSpaceDN w:val="0"/>
              <w:adjustRightInd w:val="0"/>
              <w:spacing w:after="0" w:line="320" w:lineRule="atLeast"/>
              <w:ind w:left="60" w:right="60"/>
              <w:rPr>
                <w:rFonts w:ascii="Arial" w:hAnsi="Arial" w:cs="Arial"/>
                <w:color w:val="264A60"/>
                <w:sz w:val="18"/>
                <w:szCs w:val="18"/>
              </w:rPr>
            </w:pPr>
            <w:r w:rsidRPr="00745555">
              <w:rPr>
                <w:rFonts w:ascii="Arial" w:hAnsi="Arial" w:cs="Arial"/>
                <w:color w:val="264A60"/>
                <w:sz w:val="18"/>
                <w:szCs w:val="18"/>
              </w:rPr>
              <w:t>Model</w:t>
            </w:r>
          </w:p>
        </w:tc>
        <w:tc>
          <w:tcPr>
            <w:tcW w:w="1239" w:type="dxa"/>
            <w:tcBorders>
              <w:top w:val="single" w:sz="8" w:space="0" w:color="AEAEAE"/>
              <w:left w:val="nil"/>
              <w:bottom w:val="single" w:sz="8" w:space="0" w:color="152935"/>
              <w:right w:val="single" w:sz="8" w:space="0" w:color="E0E0E0"/>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716.242</w:t>
            </w:r>
          </w:p>
        </w:tc>
        <w:tc>
          <w:tcPr>
            <w:tcW w:w="1025" w:type="dxa"/>
            <w:tcBorders>
              <w:top w:val="single" w:sz="8" w:space="0" w:color="AEAEAE"/>
              <w:left w:val="single" w:sz="8" w:space="0" w:color="E0E0E0"/>
              <w:bottom w:val="single" w:sz="8" w:space="0" w:color="152935"/>
              <w:right w:val="single" w:sz="8" w:space="0" w:color="E0E0E0"/>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4</w:t>
            </w:r>
          </w:p>
        </w:tc>
        <w:tc>
          <w:tcPr>
            <w:tcW w:w="1025" w:type="dxa"/>
            <w:tcBorders>
              <w:top w:val="single" w:sz="8" w:space="0" w:color="AEAEAE"/>
              <w:left w:val="single" w:sz="8" w:space="0" w:color="E0E0E0"/>
              <w:bottom w:val="single" w:sz="8" w:space="0" w:color="152935"/>
              <w:right w:val="nil"/>
            </w:tcBorders>
            <w:shd w:val="clear" w:color="auto" w:fill="FFFFFF"/>
          </w:tcPr>
          <w:p w:rsidR="009F3399" w:rsidRPr="00745555"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745555">
              <w:rPr>
                <w:rFonts w:ascii="Arial" w:hAnsi="Arial" w:cs="Arial"/>
                <w:color w:val="010205"/>
                <w:sz w:val="18"/>
                <w:szCs w:val="18"/>
              </w:rPr>
              <w:t>.000</w:t>
            </w:r>
          </w:p>
        </w:tc>
      </w:tr>
    </w:tbl>
    <w:p w:rsidR="009F3399" w:rsidRDefault="009F3399" w:rsidP="009F3399">
      <w:pPr>
        <w:spacing w:after="0" w:line="480" w:lineRule="auto"/>
        <w:rPr>
          <w:rFonts w:ascii="Times New Roman" w:hAnsi="Times New Roman" w:cs="Times New Roman"/>
          <w:sz w:val="24"/>
          <w:szCs w:val="24"/>
        </w:rPr>
      </w:pPr>
    </w:p>
    <w:p w:rsidR="009F3399"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Table 3</w:t>
      </w:r>
    </w:p>
    <w:p w:rsidR="009F3399" w:rsidRPr="00AF3007"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Model Summary</w:t>
      </w:r>
    </w:p>
    <w:tbl>
      <w:tblPr>
        <w:tblW w:w="5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5"/>
        <w:gridCol w:w="1468"/>
        <w:gridCol w:w="1468"/>
        <w:gridCol w:w="1468"/>
      </w:tblGrid>
      <w:tr w:rsidR="009F3399" w:rsidRPr="00AF3007" w:rsidTr="00D177F2">
        <w:trPr>
          <w:cantSplit/>
        </w:trPr>
        <w:tc>
          <w:tcPr>
            <w:tcW w:w="735" w:type="dxa"/>
            <w:tcBorders>
              <w:top w:val="nil"/>
              <w:left w:val="nil"/>
              <w:bottom w:val="single" w:sz="8" w:space="0" w:color="152935"/>
              <w:right w:val="nil"/>
            </w:tcBorders>
            <w:shd w:val="clear" w:color="auto" w:fill="FFFFFF"/>
            <w:vAlign w:val="bottom"/>
          </w:tcPr>
          <w:p w:rsidR="009F3399" w:rsidRPr="00AF3007" w:rsidRDefault="009F3399" w:rsidP="00D177F2">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Step</w:t>
            </w:r>
          </w:p>
        </w:tc>
        <w:tc>
          <w:tcPr>
            <w:tcW w:w="1468" w:type="dxa"/>
            <w:tcBorders>
              <w:top w:val="nil"/>
              <w:left w:val="nil"/>
              <w:bottom w:val="single" w:sz="8" w:space="0" w:color="152935"/>
              <w:right w:val="single" w:sz="8" w:space="0" w:color="E0E0E0"/>
            </w:tcBorders>
            <w:shd w:val="clear" w:color="auto" w:fill="FFFFFF"/>
            <w:vAlign w:val="bottom"/>
          </w:tcPr>
          <w:p w:rsidR="009F3399" w:rsidRPr="00AF3007"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-2 Log likelihood</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9F3399" w:rsidRPr="00AF3007"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AF3007">
              <w:rPr>
                <w:rFonts w:ascii="Arial" w:hAnsi="Arial" w:cs="Arial"/>
                <w:color w:val="264A60"/>
                <w:sz w:val="18"/>
                <w:szCs w:val="18"/>
              </w:rPr>
              <w:t>Cox &amp; Snell R Square</w:t>
            </w:r>
          </w:p>
        </w:tc>
        <w:tc>
          <w:tcPr>
            <w:tcW w:w="1468" w:type="dxa"/>
            <w:tcBorders>
              <w:top w:val="nil"/>
              <w:left w:val="single" w:sz="8" w:space="0" w:color="E0E0E0"/>
              <w:bottom w:val="single" w:sz="8" w:space="0" w:color="152935"/>
              <w:right w:val="nil"/>
            </w:tcBorders>
            <w:shd w:val="clear" w:color="auto" w:fill="FFFFFF"/>
            <w:vAlign w:val="bottom"/>
          </w:tcPr>
          <w:p w:rsidR="009F3399" w:rsidRPr="00AF3007"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AF3007">
              <w:rPr>
                <w:rFonts w:ascii="Arial" w:hAnsi="Arial" w:cs="Arial"/>
                <w:color w:val="264A60"/>
                <w:sz w:val="18"/>
                <w:szCs w:val="18"/>
              </w:rPr>
              <w:t>Nagelkerke</w:t>
            </w:r>
            <w:proofErr w:type="spellEnd"/>
            <w:r w:rsidRPr="00AF3007">
              <w:rPr>
                <w:rFonts w:ascii="Arial" w:hAnsi="Arial" w:cs="Arial"/>
                <w:color w:val="264A60"/>
                <w:sz w:val="18"/>
                <w:szCs w:val="18"/>
              </w:rPr>
              <w:t xml:space="preserve"> R Square</w:t>
            </w:r>
          </w:p>
        </w:tc>
      </w:tr>
      <w:tr w:rsidR="009F3399" w:rsidRPr="00AF3007" w:rsidTr="00D177F2">
        <w:trPr>
          <w:cantSplit/>
        </w:trPr>
        <w:tc>
          <w:tcPr>
            <w:tcW w:w="735" w:type="dxa"/>
            <w:tcBorders>
              <w:top w:val="single" w:sz="8" w:space="0" w:color="152935"/>
              <w:left w:val="nil"/>
              <w:bottom w:val="single" w:sz="8" w:space="0" w:color="152935"/>
              <w:right w:val="nil"/>
            </w:tcBorders>
            <w:shd w:val="clear" w:color="auto" w:fill="E0E0E0"/>
          </w:tcPr>
          <w:p w:rsidR="009F3399" w:rsidRPr="00AF3007" w:rsidRDefault="009F3399" w:rsidP="00D177F2">
            <w:pPr>
              <w:autoSpaceDE w:val="0"/>
              <w:autoSpaceDN w:val="0"/>
              <w:adjustRightInd w:val="0"/>
              <w:spacing w:after="0" w:line="320" w:lineRule="atLeast"/>
              <w:ind w:left="60" w:right="60"/>
              <w:rPr>
                <w:rFonts w:ascii="Arial" w:hAnsi="Arial" w:cs="Arial"/>
                <w:color w:val="264A60"/>
                <w:sz w:val="18"/>
                <w:szCs w:val="18"/>
              </w:rPr>
            </w:pPr>
            <w:r w:rsidRPr="00AF3007">
              <w:rPr>
                <w:rFonts w:ascii="Arial" w:hAnsi="Arial" w:cs="Arial"/>
                <w:color w:val="264A60"/>
                <w:sz w:val="18"/>
                <w:szCs w:val="18"/>
              </w:rPr>
              <w:t>1</w:t>
            </w:r>
          </w:p>
        </w:tc>
        <w:tc>
          <w:tcPr>
            <w:tcW w:w="1468" w:type="dxa"/>
            <w:tcBorders>
              <w:top w:val="single" w:sz="8" w:space="0" w:color="152935"/>
              <w:left w:val="nil"/>
              <w:bottom w:val="single" w:sz="8" w:space="0" w:color="152935"/>
              <w:right w:val="single" w:sz="8" w:space="0" w:color="E0E0E0"/>
            </w:tcBorders>
            <w:shd w:val="clear" w:color="auto" w:fill="FFFFFF"/>
          </w:tcPr>
          <w:p w:rsidR="009F3399" w:rsidRPr="00AF3007"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1906.867</w:t>
            </w:r>
            <w:r w:rsidRPr="00AF3007">
              <w:rPr>
                <w:rFonts w:ascii="Arial" w:hAnsi="Arial" w:cs="Arial"/>
                <w:color w:val="010205"/>
                <w:sz w:val="18"/>
                <w:szCs w:val="18"/>
                <w:vertAlign w:val="superscript"/>
              </w:rPr>
              <w:t>a</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9F3399" w:rsidRPr="00AF3007"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.306</w:t>
            </w:r>
          </w:p>
        </w:tc>
        <w:tc>
          <w:tcPr>
            <w:tcW w:w="1468" w:type="dxa"/>
            <w:tcBorders>
              <w:top w:val="single" w:sz="8" w:space="0" w:color="152935"/>
              <w:left w:val="single" w:sz="8" w:space="0" w:color="E0E0E0"/>
              <w:bottom w:val="single" w:sz="8" w:space="0" w:color="152935"/>
              <w:right w:val="nil"/>
            </w:tcBorders>
            <w:shd w:val="clear" w:color="auto" w:fill="FFFFFF"/>
          </w:tcPr>
          <w:p w:rsidR="009F3399" w:rsidRPr="00AF3007"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AF3007">
              <w:rPr>
                <w:rFonts w:ascii="Arial" w:hAnsi="Arial" w:cs="Arial"/>
                <w:color w:val="010205"/>
                <w:sz w:val="18"/>
                <w:szCs w:val="18"/>
              </w:rPr>
              <w:t>.415</w:t>
            </w:r>
          </w:p>
        </w:tc>
      </w:tr>
      <w:tr w:rsidR="009F3399" w:rsidRPr="00AF3007" w:rsidTr="00D177F2">
        <w:trPr>
          <w:cantSplit/>
        </w:trPr>
        <w:tc>
          <w:tcPr>
            <w:tcW w:w="5139" w:type="dxa"/>
            <w:gridSpan w:val="4"/>
            <w:tcBorders>
              <w:top w:val="nil"/>
              <w:left w:val="nil"/>
              <w:bottom w:val="nil"/>
              <w:right w:val="nil"/>
            </w:tcBorders>
            <w:shd w:val="clear" w:color="auto" w:fill="FFFFFF"/>
          </w:tcPr>
          <w:p w:rsidR="009F3399" w:rsidRPr="00AF3007" w:rsidRDefault="009F3399" w:rsidP="00D177F2">
            <w:pPr>
              <w:autoSpaceDE w:val="0"/>
              <w:autoSpaceDN w:val="0"/>
              <w:adjustRightInd w:val="0"/>
              <w:spacing w:after="0" w:line="320" w:lineRule="atLeast"/>
              <w:ind w:left="60" w:right="60"/>
              <w:rPr>
                <w:rFonts w:ascii="Arial" w:hAnsi="Arial" w:cs="Arial"/>
                <w:color w:val="010205"/>
                <w:sz w:val="18"/>
                <w:szCs w:val="18"/>
              </w:rPr>
            </w:pPr>
            <w:r w:rsidRPr="00AF3007">
              <w:rPr>
                <w:rFonts w:ascii="Arial" w:hAnsi="Arial" w:cs="Arial"/>
                <w:color w:val="010205"/>
                <w:sz w:val="18"/>
                <w:szCs w:val="18"/>
              </w:rPr>
              <w:lastRenderedPageBreak/>
              <w:t>a. Estimation terminated at iteration number 6 because parameter estimates changed by less than .001.</w:t>
            </w:r>
          </w:p>
        </w:tc>
      </w:tr>
    </w:tbl>
    <w:p w:rsidR="009F3399" w:rsidRDefault="009F339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9F3399"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Table 4</w:t>
      </w:r>
    </w:p>
    <w:p w:rsidR="009F3399" w:rsidRPr="004A2BFE"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4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40"/>
        <w:gridCol w:w="1025"/>
        <w:gridCol w:w="1025"/>
      </w:tblGrid>
      <w:tr w:rsidR="009F3399" w:rsidRPr="004A2BFE" w:rsidTr="00D177F2">
        <w:trPr>
          <w:cantSplit/>
        </w:trPr>
        <w:tc>
          <w:tcPr>
            <w:tcW w:w="733" w:type="dxa"/>
            <w:tcBorders>
              <w:top w:val="nil"/>
              <w:left w:val="nil"/>
              <w:bottom w:val="single" w:sz="8" w:space="0" w:color="152935"/>
              <w:right w:val="nil"/>
            </w:tcBorders>
            <w:shd w:val="clear" w:color="auto" w:fill="FFFFFF"/>
            <w:vAlign w:val="bottom"/>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w:t>
            </w:r>
          </w:p>
        </w:tc>
        <w:tc>
          <w:tcPr>
            <w:tcW w:w="1240" w:type="dxa"/>
            <w:tcBorders>
              <w:top w:val="nil"/>
              <w:left w:val="nil"/>
              <w:bottom w:val="single" w:sz="8" w:space="0" w:color="152935"/>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Chi-square</w:t>
            </w:r>
          </w:p>
        </w:tc>
        <w:tc>
          <w:tcPr>
            <w:tcW w:w="1025" w:type="dxa"/>
            <w:tcBorders>
              <w:top w:val="nil"/>
              <w:left w:val="single" w:sz="8" w:space="0" w:color="E0E0E0"/>
              <w:bottom w:val="single" w:sz="8" w:space="0" w:color="152935"/>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proofErr w:type="spellStart"/>
            <w:r w:rsidRPr="004A2BFE">
              <w:rPr>
                <w:rFonts w:ascii="Arial" w:hAnsi="Arial" w:cs="Arial"/>
                <w:color w:val="264A60"/>
                <w:sz w:val="18"/>
                <w:szCs w:val="18"/>
              </w:rPr>
              <w:t>df</w:t>
            </w:r>
            <w:proofErr w:type="spellEnd"/>
          </w:p>
        </w:tc>
        <w:tc>
          <w:tcPr>
            <w:tcW w:w="1025" w:type="dxa"/>
            <w:tcBorders>
              <w:top w:val="nil"/>
              <w:left w:val="single" w:sz="8" w:space="0" w:color="E0E0E0"/>
              <w:bottom w:val="single" w:sz="8" w:space="0" w:color="152935"/>
              <w:right w:val="nil"/>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Sig.</w:t>
            </w:r>
          </w:p>
        </w:tc>
      </w:tr>
      <w:tr w:rsidR="009F3399" w:rsidRPr="004A2BFE" w:rsidTr="00D177F2">
        <w:trPr>
          <w:cantSplit/>
        </w:trPr>
        <w:tc>
          <w:tcPr>
            <w:tcW w:w="733" w:type="dxa"/>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240" w:type="dxa"/>
            <w:tcBorders>
              <w:top w:val="single" w:sz="8" w:space="0" w:color="152935"/>
              <w:left w:val="nil"/>
              <w:bottom w:val="single" w:sz="8" w:space="0" w:color="152935"/>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23.671</w:t>
            </w:r>
          </w:p>
        </w:tc>
        <w:tc>
          <w:tcPr>
            <w:tcW w:w="1025" w:type="dxa"/>
            <w:tcBorders>
              <w:top w:val="single" w:sz="8" w:space="0" w:color="152935"/>
              <w:left w:val="single" w:sz="8" w:space="0" w:color="E0E0E0"/>
              <w:bottom w:val="single" w:sz="8" w:space="0" w:color="152935"/>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8</w:t>
            </w:r>
          </w:p>
        </w:tc>
        <w:tc>
          <w:tcPr>
            <w:tcW w:w="1025" w:type="dxa"/>
            <w:tcBorders>
              <w:top w:val="single" w:sz="8" w:space="0" w:color="152935"/>
              <w:left w:val="single" w:sz="8" w:space="0" w:color="E0E0E0"/>
              <w:bottom w:val="single" w:sz="8" w:space="0" w:color="152935"/>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.003</w:t>
            </w:r>
          </w:p>
        </w:tc>
      </w:tr>
    </w:tbl>
    <w:p w:rsidR="009F3399" w:rsidRPr="004A2BFE" w:rsidRDefault="009F3399" w:rsidP="009F3399">
      <w:pPr>
        <w:autoSpaceDE w:val="0"/>
        <w:autoSpaceDN w:val="0"/>
        <w:adjustRightInd w:val="0"/>
        <w:spacing w:after="0" w:line="400" w:lineRule="atLeast"/>
        <w:rPr>
          <w:rFonts w:ascii="Times New Roman" w:hAnsi="Times New Roman" w:cs="Times New Roman"/>
          <w:sz w:val="24"/>
          <w:szCs w:val="24"/>
        </w:rPr>
      </w:pPr>
    </w:p>
    <w:p w:rsidR="009F3399"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Table 5</w:t>
      </w:r>
    </w:p>
    <w:p w:rsidR="009F3399" w:rsidRPr="004A2BFE" w:rsidRDefault="009F3399" w:rsidP="009F3399">
      <w:pPr>
        <w:spacing w:after="0" w:line="480" w:lineRule="auto"/>
        <w:rPr>
          <w:rFonts w:ascii="Times New Roman" w:hAnsi="Times New Roman" w:cs="Times New Roman"/>
          <w:sz w:val="24"/>
          <w:szCs w:val="24"/>
        </w:rPr>
      </w:pPr>
      <w:r>
        <w:rPr>
          <w:rFonts w:ascii="Times New Roman" w:hAnsi="Times New Roman" w:cs="Times New Roman"/>
          <w:sz w:val="24"/>
          <w:szCs w:val="24"/>
        </w:rPr>
        <w:t>Contingency Table for Hosmer-</w:t>
      </w:r>
      <w:proofErr w:type="spellStart"/>
      <w:r>
        <w:rPr>
          <w:rFonts w:ascii="Times New Roman" w:hAnsi="Times New Roman" w:cs="Times New Roman"/>
          <w:sz w:val="24"/>
          <w:szCs w:val="24"/>
        </w:rPr>
        <w:t>Lemeshow</w:t>
      </w:r>
      <w:proofErr w:type="spellEnd"/>
      <w:r>
        <w:rPr>
          <w:rFonts w:ascii="Times New Roman" w:hAnsi="Times New Roman" w:cs="Times New Roman"/>
          <w:sz w:val="24"/>
          <w:szCs w:val="24"/>
        </w:rPr>
        <w:t xml:space="preserve"> Test</w:t>
      </w:r>
    </w:p>
    <w:tbl>
      <w:tblPr>
        <w:tblW w:w="68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827"/>
        <w:gridCol w:w="735"/>
        <w:gridCol w:w="1102"/>
        <w:gridCol w:w="1055"/>
        <w:gridCol w:w="1101"/>
        <w:gridCol w:w="1055"/>
        <w:gridCol w:w="1024"/>
      </w:tblGrid>
      <w:tr w:rsidR="009F3399" w:rsidRPr="004A2BFE" w:rsidTr="00D177F2">
        <w:trPr>
          <w:cantSplit/>
        </w:trPr>
        <w:tc>
          <w:tcPr>
            <w:tcW w:w="1562" w:type="dxa"/>
            <w:gridSpan w:val="2"/>
            <w:vMerge w:val="restart"/>
            <w:tcBorders>
              <w:top w:val="nil"/>
              <w:left w:val="nil"/>
              <w:bottom w:val="nil"/>
              <w:right w:val="nil"/>
            </w:tcBorders>
            <w:shd w:val="clear" w:color="auto" w:fill="FFFFFF"/>
            <w:vAlign w:val="bottom"/>
          </w:tcPr>
          <w:p w:rsidR="009F3399" w:rsidRPr="004A2BFE" w:rsidRDefault="009F3399" w:rsidP="00D177F2">
            <w:pPr>
              <w:autoSpaceDE w:val="0"/>
              <w:autoSpaceDN w:val="0"/>
              <w:adjustRightInd w:val="0"/>
              <w:spacing w:after="0" w:line="240" w:lineRule="auto"/>
              <w:rPr>
                <w:rFonts w:ascii="Times New Roman" w:hAnsi="Times New Roman" w:cs="Times New Roman"/>
                <w:sz w:val="24"/>
                <w:szCs w:val="24"/>
              </w:rPr>
            </w:pPr>
          </w:p>
        </w:tc>
        <w:tc>
          <w:tcPr>
            <w:tcW w:w="2157" w:type="dxa"/>
            <w:gridSpan w:val="2"/>
            <w:tcBorders>
              <w:top w:val="nil"/>
              <w:left w:val="nil"/>
              <w:bottom w:val="nil"/>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1.00</w:t>
            </w:r>
          </w:p>
        </w:tc>
        <w:tc>
          <w:tcPr>
            <w:tcW w:w="2156" w:type="dxa"/>
            <w:gridSpan w:val="2"/>
            <w:tcBorders>
              <w:top w:val="nil"/>
              <w:left w:val="single" w:sz="8" w:space="0" w:color="E0E0E0"/>
              <w:bottom w:val="nil"/>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CRECBINARY = 2.00</w:t>
            </w:r>
          </w:p>
        </w:tc>
        <w:tc>
          <w:tcPr>
            <w:tcW w:w="1024" w:type="dxa"/>
            <w:vMerge w:val="restart"/>
            <w:tcBorders>
              <w:top w:val="nil"/>
              <w:left w:val="single" w:sz="8" w:space="0" w:color="E0E0E0"/>
              <w:bottom w:val="nil"/>
              <w:right w:val="nil"/>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Total</w:t>
            </w:r>
          </w:p>
        </w:tc>
      </w:tr>
      <w:tr w:rsidR="009F3399" w:rsidRPr="004A2BFE" w:rsidTr="00D177F2">
        <w:trPr>
          <w:cantSplit/>
        </w:trPr>
        <w:tc>
          <w:tcPr>
            <w:tcW w:w="1562" w:type="dxa"/>
            <w:gridSpan w:val="2"/>
            <w:vMerge/>
            <w:tcBorders>
              <w:top w:val="nil"/>
              <w:left w:val="nil"/>
              <w:bottom w:val="nil"/>
              <w:right w:val="nil"/>
            </w:tcBorders>
            <w:shd w:val="clear" w:color="auto" w:fill="FFFFFF"/>
            <w:vAlign w:val="bottom"/>
          </w:tcPr>
          <w:p w:rsidR="009F3399" w:rsidRPr="004A2BFE" w:rsidRDefault="009F3399" w:rsidP="00D177F2">
            <w:pPr>
              <w:autoSpaceDE w:val="0"/>
              <w:autoSpaceDN w:val="0"/>
              <w:adjustRightInd w:val="0"/>
              <w:spacing w:after="0" w:line="240" w:lineRule="auto"/>
              <w:rPr>
                <w:rFonts w:ascii="Arial" w:hAnsi="Arial" w:cs="Arial"/>
                <w:color w:val="264A60"/>
                <w:sz w:val="18"/>
                <w:szCs w:val="18"/>
              </w:rPr>
            </w:pPr>
          </w:p>
        </w:tc>
        <w:tc>
          <w:tcPr>
            <w:tcW w:w="1102" w:type="dxa"/>
            <w:tcBorders>
              <w:top w:val="nil"/>
              <w:left w:val="nil"/>
              <w:bottom w:val="single" w:sz="8" w:space="0" w:color="152935"/>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101" w:type="dxa"/>
            <w:tcBorders>
              <w:top w:val="nil"/>
              <w:left w:val="single" w:sz="8" w:space="0" w:color="E0E0E0"/>
              <w:bottom w:val="single" w:sz="8" w:space="0" w:color="152935"/>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Observed</w:t>
            </w:r>
          </w:p>
        </w:tc>
        <w:tc>
          <w:tcPr>
            <w:tcW w:w="1055" w:type="dxa"/>
            <w:tcBorders>
              <w:top w:val="nil"/>
              <w:left w:val="single" w:sz="8" w:space="0" w:color="E0E0E0"/>
              <w:bottom w:val="single" w:sz="8" w:space="0" w:color="152935"/>
              <w:right w:val="single" w:sz="8" w:space="0" w:color="E0E0E0"/>
            </w:tcBorders>
            <w:shd w:val="clear" w:color="auto" w:fill="FFFFFF"/>
            <w:vAlign w:val="bottom"/>
          </w:tcPr>
          <w:p w:rsidR="009F3399" w:rsidRPr="004A2BFE" w:rsidRDefault="009F3399" w:rsidP="00D177F2">
            <w:pPr>
              <w:autoSpaceDE w:val="0"/>
              <w:autoSpaceDN w:val="0"/>
              <w:adjustRightInd w:val="0"/>
              <w:spacing w:after="0" w:line="320" w:lineRule="atLeast"/>
              <w:ind w:left="60" w:right="60"/>
              <w:jc w:val="center"/>
              <w:rPr>
                <w:rFonts w:ascii="Arial" w:hAnsi="Arial" w:cs="Arial"/>
                <w:color w:val="264A60"/>
                <w:sz w:val="18"/>
                <w:szCs w:val="18"/>
              </w:rPr>
            </w:pPr>
            <w:r w:rsidRPr="004A2BFE">
              <w:rPr>
                <w:rFonts w:ascii="Arial" w:hAnsi="Arial" w:cs="Arial"/>
                <w:color w:val="264A60"/>
                <w:sz w:val="18"/>
                <w:szCs w:val="18"/>
              </w:rPr>
              <w:t>Expected</w:t>
            </w:r>
          </w:p>
        </w:tc>
        <w:tc>
          <w:tcPr>
            <w:tcW w:w="1024" w:type="dxa"/>
            <w:vMerge/>
            <w:tcBorders>
              <w:top w:val="nil"/>
              <w:left w:val="single" w:sz="8" w:space="0" w:color="E0E0E0"/>
              <w:bottom w:val="nil"/>
              <w:right w:val="nil"/>
            </w:tcBorders>
            <w:shd w:val="clear" w:color="auto" w:fill="FFFFFF"/>
            <w:vAlign w:val="bottom"/>
          </w:tcPr>
          <w:p w:rsidR="009F3399" w:rsidRPr="004A2BFE" w:rsidRDefault="009F3399" w:rsidP="00D177F2">
            <w:pPr>
              <w:autoSpaceDE w:val="0"/>
              <w:autoSpaceDN w:val="0"/>
              <w:adjustRightInd w:val="0"/>
              <w:spacing w:after="0" w:line="240" w:lineRule="auto"/>
              <w:rPr>
                <w:rFonts w:ascii="Arial" w:hAnsi="Arial" w:cs="Arial"/>
                <w:color w:val="264A60"/>
                <w:sz w:val="18"/>
                <w:szCs w:val="18"/>
              </w:rPr>
            </w:pPr>
          </w:p>
        </w:tc>
      </w:tr>
      <w:tr w:rsidR="009F3399" w:rsidRPr="004A2BFE" w:rsidTr="00D177F2">
        <w:trPr>
          <w:cantSplit/>
        </w:trPr>
        <w:tc>
          <w:tcPr>
            <w:tcW w:w="827" w:type="dxa"/>
            <w:vMerge w:val="restart"/>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Step 1</w:t>
            </w:r>
          </w:p>
        </w:tc>
        <w:tc>
          <w:tcPr>
            <w:tcW w:w="735" w:type="dxa"/>
            <w:tcBorders>
              <w:top w:val="single" w:sz="8" w:space="0" w:color="152935"/>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w:t>
            </w:r>
          </w:p>
        </w:tc>
        <w:tc>
          <w:tcPr>
            <w:tcW w:w="1102" w:type="dxa"/>
            <w:tcBorders>
              <w:top w:val="single" w:sz="8" w:space="0" w:color="152935"/>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181.295</w:t>
            </w:r>
          </w:p>
        </w:tc>
        <w:tc>
          <w:tcPr>
            <w:tcW w:w="1101" w:type="dxa"/>
            <w:tcBorders>
              <w:top w:val="single" w:sz="8" w:space="0" w:color="152935"/>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w:t>
            </w:r>
          </w:p>
        </w:tc>
        <w:tc>
          <w:tcPr>
            <w:tcW w:w="1055" w:type="dxa"/>
            <w:tcBorders>
              <w:top w:val="single" w:sz="8" w:space="0" w:color="152935"/>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14.705</w:t>
            </w:r>
          </w:p>
        </w:tc>
        <w:tc>
          <w:tcPr>
            <w:tcW w:w="1024" w:type="dxa"/>
            <w:tcBorders>
              <w:top w:val="single" w:sz="8" w:space="0" w:color="152935"/>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2</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175.199</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20.801</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3</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168.176</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27.824</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4</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159.520</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38</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36.480</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5</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149</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148.155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47.845</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6</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133.784</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62.216</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7</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74</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100.801</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122</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95.199</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8</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70</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64.895</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126</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131.105</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AEAEAE"/>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9</w:t>
            </w:r>
          </w:p>
        </w:tc>
        <w:tc>
          <w:tcPr>
            <w:tcW w:w="1102" w:type="dxa"/>
            <w:tcBorders>
              <w:top w:val="single" w:sz="8" w:space="0" w:color="AEAEAE"/>
              <w:left w:val="nil"/>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55</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43.237</w:t>
            </w:r>
          </w:p>
        </w:tc>
        <w:tc>
          <w:tcPr>
            <w:tcW w:w="1101"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141</w:t>
            </w:r>
          </w:p>
        </w:tc>
        <w:tc>
          <w:tcPr>
            <w:tcW w:w="1055" w:type="dxa"/>
            <w:tcBorders>
              <w:top w:val="single" w:sz="8" w:space="0" w:color="AEAEAE"/>
              <w:left w:val="single" w:sz="8" w:space="0" w:color="E0E0E0"/>
              <w:bottom w:val="single" w:sz="8" w:space="0" w:color="AEAEAE"/>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152.763</w:t>
            </w:r>
          </w:p>
        </w:tc>
        <w:tc>
          <w:tcPr>
            <w:tcW w:w="1024" w:type="dxa"/>
            <w:tcBorders>
              <w:top w:val="single" w:sz="8" w:space="0" w:color="AEAEAE"/>
              <w:left w:val="single" w:sz="8" w:space="0" w:color="E0E0E0"/>
              <w:bottom w:val="single" w:sz="8" w:space="0" w:color="AEAEAE"/>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196</w:t>
            </w:r>
          </w:p>
        </w:tc>
      </w:tr>
      <w:tr w:rsidR="009F3399" w:rsidRPr="004A2BFE" w:rsidTr="00D177F2">
        <w:trPr>
          <w:cantSplit/>
        </w:trPr>
        <w:tc>
          <w:tcPr>
            <w:tcW w:w="827" w:type="dxa"/>
            <w:vMerge/>
            <w:tcBorders>
              <w:top w:val="single" w:sz="8" w:space="0" w:color="152935"/>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240" w:lineRule="auto"/>
              <w:rPr>
                <w:rFonts w:ascii="Arial" w:hAnsi="Arial" w:cs="Arial"/>
                <w:color w:val="010205"/>
                <w:sz w:val="18"/>
                <w:szCs w:val="18"/>
              </w:rPr>
            </w:pPr>
          </w:p>
        </w:tc>
        <w:tc>
          <w:tcPr>
            <w:tcW w:w="735" w:type="dxa"/>
            <w:tcBorders>
              <w:top w:val="single" w:sz="8" w:space="0" w:color="AEAEAE"/>
              <w:left w:val="nil"/>
              <w:bottom w:val="single" w:sz="8" w:space="0" w:color="152935"/>
              <w:right w:val="nil"/>
            </w:tcBorders>
            <w:shd w:val="clear" w:color="auto" w:fill="E0E0E0"/>
          </w:tcPr>
          <w:p w:rsidR="009F3399" w:rsidRPr="004A2BFE" w:rsidRDefault="009F3399" w:rsidP="00D177F2">
            <w:pPr>
              <w:autoSpaceDE w:val="0"/>
              <w:autoSpaceDN w:val="0"/>
              <w:adjustRightInd w:val="0"/>
              <w:spacing w:after="0" w:line="320" w:lineRule="atLeast"/>
              <w:ind w:left="60" w:right="60"/>
              <w:rPr>
                <w:rFonts w:ascii="Arial" w:hAnsi="Arial" w:cs="Arial"/>
                <w:color w:val="264A60"/>
                <w:sz w:val="18"/>
                <w:szCs w:val="18"/>
              </w:rPr>
            </w:pPr>
            <w:r w:rsidRPr="004A2BFE">
              <w:rPr>
                <w:rFonts w:ascii="Arial" w:hAnsi="Arial" w:cs="Arial"/>
                <w:color w:val="264A60"/>
                <w:sz w:val="18"/>
                <w:szCs w:val="18"/>
              </w:rPr>
              <w:t>10</w:t>
            </w:r>
          </w:p>
        </w:tc>
        <w:tc>
          <w:tcPr>
            <w:tcW w:w="1102" w:type="dxa"/>
            <w:tcBorders>
              <w:top w:val="single" w:sz="8" w:space="0" w:color="AEAEAE"/>
              <w:left w:val="nil"/>
              <w:bottom w:val="single" w:sz="8" w:space="0" w:color="152935"/>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25</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22.938</w:t>
            </w:r>
          </w:p>
        </w:tc>
        <w:tc>
          <w:tcPr>
            <w:tcW w:w="1101" w:type="dxa"/>
            <w:tcBorders>
              <w:top w:val="single" w:sz="8" w:space="0" w:color="AEAEAE"/>
              <w:left w:val="single" w:sz="8" w:space="0" w:color="E0E0E0"/>
              <w:bottom w:val="single" w:sz="8" w:space="0" w:color="152935"/>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173</w:t>
            </w:r>
          </w:p>
        </w:tc>
        <w:tc>
          <w:tcPr>
            <w:tcW w:w="1055" w:type="dxa"/>
            <w:tcBorders>
              <w:top w:val="single" w:sz="8" w:space="0" w:color="AEAEAE"/>
              <w:left w:val="single" w:sz="8" w:space="0" w:color="E0E0E0"/>
              <w:bottom w:val="single" w:sz="8" w:space="0" w:color="152935"/>
              <w:right w:val="single" w:sz="8" w:space="0" w:color="E0E0E0"/>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175.062</w:t>
            </w:r>
          </w:p>
        </w:tc>
        <w:tc>
          <w:tcPr>
            <w:tcW w:w="1024" w:type="dxa"/>
            <w:tcBorders>
              <w:top w:val="single" w:sz="8" w:space="0" w:color="AEAEAE"/>
              <w:left w:val="single" w:sz="8" w:space="0" w:color="E0E0E0"/>
              <w:bottom w:val="single" w:sz="8" w:space="0" w:color="152935"/>
              <w:right w:val="nil"/>
            </w:tcBorders>
            <w:shd w:val="clear" w:color="auto" w:fill="FFFFFF"/>
          </w:tcPr>
          <w:p w:rsidR="009F3399" w:rsidRPr="004A2BFE" w:rsidRDefault="009F3399" w:rsidP="00D177F2">
            <w:pPr>
              <w:autoSpaceDE w:val="0"/>
              <w:autoSpaceDN w:val="0"/>
              <w:adjustRightInd w:val="0"/>
              <w:spacing w:after="0" w:line="320" w:lineRule="atLeast"/>
              <w:ind w:left="60" w:right="60"/>
              <w:jc w:val="right"/>
              <w:rPr>
                <w:rFonts w:ascii="Arial" w:hAnsi="Arial" w:cs="Arial"/>
                <w:color w:val="010205"/>
                <w:sz w:val="18"/>
                <w:szCs w:val="18"/>
              </w:rPr>
            </w:pPr>
            <w:r w:rsidRPr="004A2BFE">
              <w:rPr>
                <w:rFonts w:ascii="Arial" w:hAnsi="Arial" w:cs="Arial"/>
                <w:color w:val="010205"/>
                <w:sz w:val="18"/>
                <w:szCs w:val="18"/>
              </w:rPr>
              <w:t>198</w:t>
            </w:r>
          </w:p>
        </w:tc>
      </w:tr>
    </w:tbl>
    <w:p w:rsidR="009F3399" w:rsidRPr="0070304D" w:rsidRDefault="009F3399" w:rsidP="0070304D">
      <w:pPr>
        <w:widowControl w:val="0"/>
        <w:autoSpaceDE w:val="0"/>
        <w:autoSpaceDN w:val="0"/>
        <w:adjustRightInd w:val="0"/>
        <w:spacing w:after="0" w:line="240" w:lineRule="auto"/>
        <w:rPr>
          <w:rFonts w:ascii="Arial" w:eastAsiaTheme="minorEastAsia" w:hAnsi="Arial" w:cs="Arial"/>
          <w:b/>
          <w:bCs/>
          <w:color w:val="000000"/>
          <w:sz w:val="26"/>
          <w:szCs w:val="26"/>
        </w:rPr>
      </w:pPr>
    </w:p>
    <w:sectPr w:rsidR="009F3399" w:rsidRPr="0070304D" w:rsidSect="00ED3A93">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2F6A" w:rsidRDefault="00902F6A" w:rsidP="00ED3A93">
      <w:pPr>
        <w:spacing w:after="0" w:line="240" w:lineRule="auto"/>
      </w:pPr>
      <w:r>
        <w:separator/>
      </w:r>
    </w:p>
  </w:endnote>
  <w:endnote w:type="continuationSeparator" w:id="0">
    <w:p w:rsidR="00902F6A" w:rsidRDefault="00902F6A"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2F6A" w:rsidRDefault="00902F6A" w:rsidP="00ED3A93">
      <w:pPr>
        <w:spacing w:after="0" w:line="240" w:lineRule="auto"/>
      </w:pPr>
      <w:r>
        <w:separator/>
      </w:r>
    </w:p>
  </w:footnote>
  <w:footnote w:type="continuationSeparator" w:id="0">
    <w:p w:rsidR="00902F6A" w:rsidRDefault="00902F6A"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F6A" w:rsidRPr="00ED3A93" w:rsidRDefault="00902F6A" w:rsidP="00ED3A93">
    <w:pPr>
      <w:pStyle w:val="Header"/>
      <w:tabs>
        <w:tab w:val="left" w:pos="9000"/>
      </w:tabs>
      <w:rPr>
        <w:rFonts w:ascii="Times New Roman" w:hAnsi="Times New Roman" w:cs="Times New Roman"/>
        <w:sz w:val="24"/>
      </w:rPr>
    </w:pPr>
    <w:r>
      <w:rPr>
        <w:rFonts w:ascii="Times New Roman" w:hAnsi="Times New Roman" w:cs="Times New Roman"/>
        <w:sz w:val="24"/>
      </w:rPr>
      <w:t>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E2B9A">
      <w:rPr>
        <w:rFonts w:ascii="Times New Roman" w:hAnsi="Times New Roman" w:cs="Times New Roman"/>
        <w:noProof/>
        <w:sz w:val="24"/>
      </w:rPr>
      <w:t>21</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2F6A" w:rsidRPr="00ED3A93" w:rsidRDefault="00902F6A"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Measuring the Payoff from Federally-Funded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E2B9A">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763E5F"/>
    <w:multiLevelType w:val="hybridMultilevel"/>
    <w:tmpl w:val="00E82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17234"/>
    <w:rsid w:val="0003023E"/>
    <w:rsid w:val="00030383"/>
    <w:rsid w:val="00043C5B"/>
    <w:rsid w:val="00050454"/>
    <w:rsid w:val="000819E9"/>
    <w:rsid w:val="000837EA"/>
    <w:rsid w:val="00095EE1"/>
    <w:rsid w:val="000B4992"/>
    <w:rsid w:val="000C2A0E"/>
    <w:rsid w:val="000E4997"/>
    <w:rsid w:val="000F3B07"/>
    <w:rsid w:val="00107729"/>
    <w:rsid w:val="00121BA5"/>
    <w:rsid w:val="00135A7B"/>
    <w:rsid w:val="001418B7"/>
    <w:rsid w:val="00145FC5"/>
    <w:rsid w:val="00167167"/>
    <w:rsid w:val="00176833"/>
    <w:rsid w:val="00183221"/>
    <w:rsid w:val="001928A1"/>
    <w:rsid w:val="001A16FC"/>
    <w:rsid w:val="001C6060"/>
    <w:rsid w:val="001D6329"/>
    <w:rsid w:val="001F264D"/>
    <w:rsid w:val="00205B2C"/>
    <w:rsid w:val="00231217"/>
    <w:rsid w:val="00250EC3"/>
    <w:rsid w:val="00264174"/>
    <w:rsid w:val="00267CD3"/>
    <w:rsid w:val="002829D7"/>
    <w:rsid w:val="0028689B"/>
    <w:rsid w:val="00287689"/>
    <w:rsid w:val="002A0CBE"/>
    <w:rsid w:val="002B1431"/>
    <w:rsid w:val="002B2828"/>
    <w:rsid w:val="002B7C17"/>
    <w:rsid w:val="002F6471"/>
    <w:rsid w:val="002F7B59"/>
    <w:rsid w:val="00304149"/>
    <w:rsid w:val="0030442E"/>
    <w:rsid w:val="0031708C"/>
    <w:rsid w:val="00321890"/>
    <w:rsid w:val="003435C2"/>
    <w:rsid w:val="00347B6E"/>
    <w:rsid w:val="0035422A"/>
    <w:rsid w:val="00362D86"/>
    <w:rsid w:val="00362FE5"/>
    <w:rsid w:val="00366F74"/>
    <w:rsid w:val="0039402D"/>
    <w:rsid w:val="00395942"/>
    <w:rsid w:val="003E0BF0"/>
    <w:rsid w:val="003E1969"/>
    <w:rsid w:val="003E6CE7"/>
    <w:rsid w:val="00435D1E"/>
    <w:rsid w:val="0044284E"/>
    <w:rsid w:val="00452D79"/>
    <w:rsid w:val="00465009"/>
    <w:rsid w:val="00492BB0"/>
    <w:rsid w:val="004A2BFE"/>
    <w:rsid w:val="004D2674"/>
    <w:rsid w:val="00515BF4"/>
    <w:rsid w:val="00516C41"/>
    <w:rsid w:val="00522BED"/>
    <w:rsid w:val="00533F40"/>
    <w:rsid w:val="00535B27"/>
    <w:rsid w:val="00553249"/>
    <w:rsid w:val="00556E08"/>
    <w:rsid w:val="0059137D"/>
    <w:rsid w:val="00593778"/>
    <w:rsid w:val="005941BF"/>
    <w:rsid w:val="00594A44"/>
    <w:rsid w:val="00595F8C"/>
    <w:rsid w:val="005A46F1"/>
    <w:rsid w:val="005B60C8"/>
    <w:rsid w:val="005C3A1F"/>
    <w:rsid w:val="005D0825"/>
    <w:rsid w:val="005D3F04"/>
    <w:rsid w:val="005F5941"/>
    <w:rsid w:val="006108F2"/>
    <w:rsid w:val="00611638"/>
    <w:rsid w:val="006176B2"/>
    <w:rsid w:val="006603D4"/>
    <w:rsid w:val="00661871"/>
    <w:rsid w:val="00694596"/>
    <w:rsid w:val="006B104D"/>
    <w:rsid w:val="006C0768"/>
    <w:rsid w:val="006D4A47"/>
    <w:rsid w:val="006E26EC"/>
    <w:rsid w:val="006F794F"/>
    <w:rsid w:val="0070304D"/>
    <w:rsid w:val="007030CA"/>
    <w:rsid w:val="00712F19"/>
    <w:rsid w:val="00745555"/>
    <w:rsid w:val="00753FA7"/>
    <w:rsid w:val="00755F3B"/>
    <w:rsid w:val="0077621E"/>
    <w:rsid w:val="00780AC5"/>
    <w:rsid w:val="00781FC8"/>
    <w:rsid w:val="00791766"/>
    <w:rsid w:val="007A15DA"/>
    <w:rsid w:val="007A1DC5"/>
    <w:rsid w:val="007A6FD9"/>
    <w:rsid w:val="007C6F82"/>
    <w:rsid w:val="007E6816"/>
    <w:rsid w:val="00811F0D"/>
    <w:rsid w:val="0082229D"/>
    <w:rsid w:val="00826F36"/>
    <w:rsid w:val="00834CA6"/>
    <w:rsid w:val="0084229F"/>
    <w:rsid w:val="00853D7F"/>
    <w:rsid w:val="00857A0E"/>
    <w:rsid w:val="00876656"/>
    <w:rsid w:val="008774F5"/>
    <w:rsid w:val="00882DC8"/>
    <w:rsid w:val="00897975"/>
    <w:rsid w:val="008D0DFC"/>
    <w:rsid w:val="008E0001"/>
    <w:rsid w:val="008E0821"/>
    <w:rsid w:val="008E2B9A"/>
    <w:rsid w:val="008E6D11"/>
    <w:rsid w:val="00902F6A"/>
    <w:rsid w:val="009059D6"/>
    <w:rsid w:val="009112B2"/>
    <w:rsid w:val="009171D5"/>
    <w:rsid w:val="00944360"/>
    <w:rsid w:val="0096042E"/>
    <w:rsid w:val="00974F5C"/>
    <w:rsid w:val="00993EDF"/>
    <w:rsid w:val="009A0387"/>
    <w:rsid w:val="009A5720"/>
    <w:rsid w:val="009C2122"/>
    <w:rsid w:val="009C33E3"/>
    <w:rsid w:val="009D12CE"/>
    <w:rsid w:val="009D2A67"/>
    <w:rsid w:val="009D4B6F"/>
    <w:rsid w:val="009E16F8"/>
    <w:rsid w:val="009F3399"/>
    <w:rsid w:val="009F6BCA"/>
    <w:rsid w:val="00A00544"/>
    <w:rsid w:val="00A07262"/>
    <w:rsid w:val="00A14AAF"/>
    <w:rsid w:val="00A317C8"/>
    <w:rsid w:val="00A56D78"/>
    <w:rsid w:val="00A60A48"/>
    <w:rsid w:val="00A95B39"/>
    <w:rsid w:val="00AA78A5"/>
    <w:rsid w:val="00AB1AD8"/>
    <w:rsid w:val="00AB4934"/>
    <w:rsid w:val="00AC2C6F"/>
    <w:rsid w:val="00AD2CB2"/>
    <w:rsid w:val="00AD469C"/>
    <w:rsid w:val="00AE2F9F"/>
    <w:rsid w:val="00AF3007"/>
    <w:rsid w:val="00B108C4"/>
    <w:rsid w:val="00B13DC9"/>
    <w:rsid w:val="00B1423F"/>
    <w:rsid w:val="00B20B57"/>
    <w:rsid w:val="00B212F2"/>
    <w:rsid w:val="00B31A68"/>
    <w:rsid w:val="00B53472"/>
    <w:rsid w:val="00B55147"/>
    <w:rsid w:val="00B77986"/>
    <w:rsid w:val="00B902A3"/>
    <w:rsid w:val="00BB30EF"/>
    <w:rsid w:val="00BB72F2"/>
    <w:rsid w:val="00BB7F88"/>
    <w:rsid w:val="00BC5DF9"/>
    <w:rsid w:val="00BD4077"/>
    <w:rsid w:val="00BE372A"/>
    <w:rsid w:val="00C05481"/>
    <w:rsid w:val="00C05AC4"/>
    <w:rsid w:val="00C1307D"/>
    <w:rsid w:val="00C27E3C"/>
    <w:rsid w:val="00C30FC4"/>
    <w:rsid w:val="00C47E6E"/>
    <w:rsid w:val="00C61036"/>
    <w:rsid w:val="00C80754"/>
    <w:rsid w:val="00C84A5B"/>
    <w:rsid w:val="00C853DF"/>
    <w:rsid w:val="00CA20D7"/>
    <w:rsid w:val="00CC1A30"/>
    <w:rsid w:val="00CD2E27"/>
    <w:rsid w:val="00CD7A61"/>
    <w:rsid w:val="00CF721C"/>
    <w:rsid w:val="00D02FEA"/>
    <w:rsid w:val="00D127D6"/>
    <w:rsid w:val="00D1795C"/>
    <w:rsid w:val="00D226EC"/>
    <w:rsid w:val="00D24CDD"/>
    <w:rsid w:val="00D33AD0"/>
    <w:rsid w:val="00D34CAA"/>
    <w:rsid w:val="00D432EF"/>
    <w:rsid w:val="00D4639F"/>
    <w:rsid w:val="00D47073"/>
    <w:rsid w:val="00D6439B"/>
    <w:rsid w:val="00D859C5"/>
    <w:rsid w:val="00D86C5D"/>
    <w:rsid w:val="00DA45BC"/>
    <w:rsid w:val="00DA48A2"/>
    <w:rsid w:val="00DA6058"/>
    <w:rsid w:val="00DC3C6C"/>
    <w:rsid w:val="00DD1EAF"/>
    <w:rsid w:val="00DF028A"/>
    <w:rsid w:val="00DF4DF5"/>
    <w:rsid w:val="00E441F9"/>
    <w:rsid w:val="00E53AF5"/>
    <w:rsid w:val="00E7090D"/>
    <w:rsid w:val="00E86DCB"/>
    <w:rsid w:val="00EB3DE9"/>
    <w:rsid w:val="00EC7326"/>
    <w:rsid w:val="00ED3A93"/>
    <w:rsid w:val="00EE05B8"/>
    <w:rsid w:val="00EE4231"/>
    <w:rsid w:val="00EE7743"/>
    <w:rsid w:val="00EF53C2"/>
    <w:rsid w:val="00F27DEB"/>
    <w:rsid w:val="00F50EF1"/>
    <w:rsid w:val="00F71CAA"/>
    <w:rsid w:val="00F8135A"/>
    <w:rsid w:val="00F8421B"/>
    <w:rsid w:val="00F92449"/>
    <w:rsid w:val="00F94A92"/>
    <w:rsid w:val="00F95DD2"/>
    <w:rsid w:val="00FC1B6A"/>
    <w:rsid w:val="00FE13E1"/>
    <w:rsid w:val="00FE2921"/>
    <w:rsid w:val="00FE332A"/>
    <w:rsid w:val="00FE34A2"/>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75AC60E"/>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iPriority w:val="99"/>
    <w:unhideWhenUsed/>
    <w:rsid w:val="001A16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25</Pages>
  <Words>4894</Words>
  <Characters>27896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221</cp:revision>
  <dcterms:created xsi:type="dcterms:W3CDTF">2018-09-18T16:55:00Z</dcterms:created>
  <dcterms:modified xsi:type="dcterms:W3CDTF">2019-07-13T16:13:00Z</dcterms:modified>
</cp:coreProperties>
</file>