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bookmarkStart w:id="0" w:name="_GoBack"/>
      <w:bookmarkEnd w:id="0"/>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 OMB 2008</w:t>
      </w:r>
      <w:r w:rsidR="00BB7F88">
        <w:rPr>
          <w:rFonts w:ascii="Times New Roman" w:hAnsi="Times New Roman" w:cs="Times New Roman"/>
          <w:sz w:val="24"/>
          <w:szCs w:val="24"/>
        </w:rPr>
        <w:t>,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w:t>
      </w:r>
      <w:r>
        <w:rPr>
          <w:rFonts w:ascii="Times New Roman" w:hAnsi="Times New Roman" w:cs="Times New Roman"/>
          <w:sz w:val="24"/>
          <w:szCs w:val="24"/>
        </w:rPr>
        <w:t xml:space="preserve"> we measure the payo</w:t>
      </w:r>
      <w:r>
        <w:rPr>
          <w:rFonts w:ascii="Times New Roman" w:hAnsi="Times New Roman" w:cs="Times New Roman"/>
          <w:sz w:val="24"/>
          <w:szCs w:val="24"/>
        </w:rPr>
        <w:t>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2828">
        <w:rPr>
          <w:rFonts w:ascii="Times New Roman" w:hAnsi="Times New Roman" w:cs="Times New Roman"/>
          <w:sz w:val="24"/>
          <w:szCs w:val="24"/>
        </w:rPr>
        <w:t xml:space="preserve">A cursory review of the literature revealed several previous studies that applied logistic regression analysis to investigate technology transfer or trends in patent data.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 xml:space="preserve">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w:t>
      </w:r>
    </w:p>
    <w:p w:rsidR="00362D86" w:rsidRDefault="00362D8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(2013) used multinomial logistic regression to study how the innovativeness, </w:t>
      </w:r>
      <w:proofErr w:type="spellStart"/>
      <w:r>
        <w:rPr>
          <w:rFonts w:ascii="Times New Roman" w:hAnsi="Times New Roman" w:cs="Times New Roman"/>
          <w:sz w:val="24"/>
          <w:szCs w:val="24"/>
        </w:rPr>
        <w:t>proactiveness</w:t>
      </w:r>
      <w:proofErr w:type="spellEnd"/>
      <w:r>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Pr>
          <w:rFonts w:ascii="Times New Roman" w:hAnsi="Times New Roman" w:cs="Times New Roman"/>
          <w:sz w:val="24"/>
          <w:szCs w:val="24"/>
        </w:rPr>
        <w:t xml:space="preserve"> their selection of technology transfer modes.  </w:t>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specifically limited the modes of technology transfer in the study to licensing, sponsored research, and consulting agreements</w:t>
      </w:r>
      <w:r w:rsidR="00B1423F">
        <w:rPr>
          <w:rFonts w:ascii="Times New Roman" w:hAnsi="Times New Roman" w:cs="Times New Roman"/>
          <w:sz w:val="24"/>
          <w:szCs w:val="24"/>
        </w:rPr>
        <w:t>,</w:t>
      </w:r>
      <w:r>
        <w:rPr>
          <w:rFonts w:ascii="Times New Roman" w:hAnsi="Times New Roman" w:cs="Times New Roman"/>
          <w:sz w:val="24"/>
          <w:szCs w:val="24"/>
        </w:rPr>
        <w:t xml:space="preserve"> which are all transactional based exchanges.  </w:t>
      </w:r>
    </w:p>
    <w:p w:rsidR="00B13DC9" w:rsidRDefault="00B13DC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studied the citation frequency of patents using several types of regression analysis including multiple linear, logistic</w:t>
      </w:r>
      <w:r w:rsidR="00F94A92">
        <w:rPr>
          <w:rFonts w:ascii="Times New Roman" w:hAnsi="Times New Roman" w:cs="Times New Roman"/>
          <w:sz w:val="24"/>
          <w:szCs w:val="24"/>
        </w:rPr>
        <w:t>, and binomial</w:t>
      </w:r>
      <w:r>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the number of classifications for a patent were associated with citation frequency.</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Theoretical Perspective</w:t>
      </w:r>
    </w:p>
    <w:p w:rsidR="001418B7" w:rsidRPr="001418B7" w:rsidRDefault="00A95B39" w:rsidP="00141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18B7" w:rsidRPr="001418B7">
        <w:rPr>
          <w:rFonts w:ascii="Times New Roman" w:hAnsi="Times New Roman" w:cs="Times New Roman"/>
          <w:sz w:val="24"/>
          <w:szCs w:val="24"/>
        </w:rPr>
        <w:t xml:space="preserve">There are several potential benefits to developing predictive models to better describe technology transfer processes and understand the factors associated with positive technology transfer outcomes.  Such knowledge would be useful for managing technological innovation and efficiently identifying high potential technologies for further development (Choi, Jang, Jun &amp; Park, 2015).  </w:t>
      </w:r>
    </w:p>
    <w:p w:rsidR="001418B7" w:rsidRPr="001418B7" w:rsidRDefault="001418B7" w:rsidP="001418B7">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lastRenderedPageBreak/>
        <w:t xml:space="preserve">However, there are important questions </w:t>
      </w:r>
      <w:proofErr w:type="gramStart"/>
      <w:r w:rsidRPr="001418B7">
        <w:rPr>
          <w:rFonts w:ascii="Times New Roman" w:hAnsi="Times New Roman" w:cs="Times New Roman"/>
          <w:sz w:val="24"/>
          <w:szCs w:val="24"/>
        </w:rPr>
        <w:t>in the area of</w:t>
      </w:r>
      <w:proofErr w:type="gramEnd"/>
      <w:r w:rsidRPr="001418B7">
        <w:rPr>
          <w:rFonts w:ascii="Times New Roman" w:hAnsi="Times New Roman" w:cs="Times New Roman"/>
          <w:sz w:val="24"/>
          <w:szCs w:val="24"/>
        </w:rPr>
        <w:t xml:space="preserve"> technology transfer that remain unanswered or underexplored including (1) how technology transfer success should be defined, (2) how technology transfer outcomes should be measured, and (3) what are the drivers of desired technology transfer outcomes.</w:t>
      </w:r>
    </w:p>
    <w:p w:rsidR="001418B7" w:rsidRPr="001418B7" w:rsidRDefault="001418B7" w:rsidP="001418B7">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t>This study continues the investigation of how technology transfer success can be defined and measured that I began in Assignments 01, 02, and 03 for SOC 6100 in the Fall 2018 semester.  Improving the transfer of technology derived from federally funded research and development (R&amp;D) to the private sector is a priority for the public policy of the United States of America (OMB, 2018).  In fact, increasing the return on investment from federally funded R&amp;D has been a top priority for the U.S. government going back to the Bush administration of the early 2000s (OMB, 2002) and interest in this topic can be traced as far back as the 1940s (Bush, 1949).</w:t>
      </w:r>
    </w:p>
    <w:p w:rsidR="001418B7" w:rsidRDefault="001418B7" w:rsidP="00F92449">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t xml:space="preserve">In this study, I conducted a binary logistic regression analysis to investigate the relationship between the number of citations received by patents and several patent citation data variables.  </w:t>
      </w:r>
    </w:p>
    <w:p w:rsidR="001418B7" w:rsidRPr="001418B7" w:rsidRDefault="001418B7" w:rsidP="001418B7">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t xml:space="preserve">The purpose of this study was to better understand the drivers of technology transfer outcomes and explore alternative approaches to measuring them.  Most previous studies of the subject define technology transfer in terms of transactional outputs and outcomes such as the executing license agreements, securing sponsored research, or forming new business ventures.  This study, I seek to explore whether a non-transactional indication of knowledge transfer can be a useful measurement of technology transfer outputs and outcomes.  As with the previous analyses, I used patents issued by the United States Patent and Trademark Office (USPTO) as a </w:t>
      </w:r>
      <w:r w:rsidRPr="001418B7">
        <w:rPr>
          <w:rFonts w:ascii="Times New Roman" w:hAnsi="Times New Roman" w:cs="Times New Roman"/>
          <w:sz w:val="24"/>
          <w:szCs w:val="24"/>
        </w:rPr>
        <w:lastRenderedPageBreak/>
        <w:t>proxy for units of technology and the number of citations a given U.S. patent receives from other U.S. patents as a measure of technology transfer.</w:t>
      </w:r>
    </w:p>
    <w:p w:rsidR="00A95B39" w:rsidRDefault="00231217" w:rsidP="001418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w:t>
      </w:r>
      <w:r w:rsidR="008D0DFC">
        <w:rPr>
          <w:rFonts w:ascii="Times New Roman" w:hAnsi="Times New Roman" w:cs="Times New Roman"/>
          <w:sz w:val="24"/>
          <w:szCs w:val="24"/>
        </w:rPr>
        <w:t xml:space="preserve">explore </w:t>
      </w:r>
      <w:r>
        <w:rPr>
          <w:rFonts w:ascii="Times New Roman" w:hAnsi="Times New Roman" w:cs="Times New Roman"/>
          <w:sz w:val="24"/>
          <w:szCs w:val="24"/>
        </w:rPr>
        <w:t xml:space="preserve">how technology transfer success can be defined and measured.  While most other research conducted in this area conceptualize technology transfer as the transactional </w:t>
      </w:r>
      <w:r w:rsidR="00712F19">
        <w:rPr>
          <w:rFonts w:ascii="Times New Roman" w:hAnsi="Times New Roman" w:cs="Times New Roman"/>
          <w:sz w:val="24"/>
          <w:szCs w:val="24"/>
        </w:rPr>
        <w:t xml:space="preserve">exchange </w:t>
      </w:r>
      <w:r>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rsidR="009171D5" w:rsidRDefault="009171D5"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variables</w:t>
      </w:r>
      <w:r>
        <w:rPr>
          <w:rFonts w:ascii="Times New Roman" w:hAnsi="Times New Roman" w:cs="Times New Roman"/>
          <w:sz w:val="24"/>
          <w:szCs w:val="24"/>
        </w:rPr>
        <w:t>?</w:t>
      </w:r>
    </w:p>
    <w:p w:rsid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 there a significant </w:t>
      </w:r>
      <w:r w:rsidR="009171D5">
        <w:rPr>
          <w:rFonts w:ascii="Times New Roman" w:hAnsi="Times New Roman" w:cs="Times New Roman"/>
          <w:sz w:val="24"/>
          <w:szCs w:val="24"/>
        </w:rPr>
        <w:t xml:space="preserve">association between whether a patent receives more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rsidR="00CC1A30" w:rsidRPr="00CC1A30" w:rsidRDefault="00CC1A30" w:rsidP="00CC1A3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Based on previous analysis</w:t>
      </w:r>
      <w:r w:rsidR="001D6329">
        <w:rPr>
          <w:rFonts w:ascii="Times New Roman" w:hAnsi="Times New Roman" w:cs="Times New Roman"/>
          <w:sz w:val="24"/>
          <w:szCs w:val="24"/>
        </w:rPr>
        <w:t>,</w:t>
      </w:r>
      <w:r>
        <w:rPr>
          <w:rFonts w:ascii="Times New Roman" w:hAnsi="Times New Roman" w:cs="Times New Roman"/>
          <w:sz w:val="24"/>
          <w:szCs w:val="24"/>
        </w:rPr>
        <w:t xml:space="preserve"> I theorize that the number of claims made by a patent and the generality of the patent will both have a positive association with the probability that a patent receives more than </w:t>
      </w:r>
      <w:r w:rsidR="005F5941">
        <w:rPr>
          <w:rFonts w:ascii="Times New Roman" w:hAnsi="Times New Roman" w:cs="Times New Roman"/>
          <w:sz w:val="24"/>
          <w:szCs w:val="24"/>
        </w:rPr>
        <w:t xml:space="preserve">the median number of </w:t>
      </w:r>
      <w:r>
        <w:rPr>
          <w:rFonts w:ascii="Times New Roman" w:hAnsi="Times New Roman" w:cs="Times New Roman"/>
          <w:sz w:val="24"/>
          <w:szCs w:val="24"/>
        </w:rPr>
        <w:t xml:space="preserve">citations.  Moreover, I anticipate that the association for the number of claims made by a patent will be slight.  While the number of claims made by a patent will have a positive association, more claims does not create significantly more opportunities for that patent to be cited because a significant portion of the claims of a patent are </w:t>
      </w:r>
      <w:r w:rsidR="00C27E3C">
        <w:rPr>
          <w:rFonts w:ascii="Times New Roman" w:hAnsi="Times New Roman" w:cs="Times New Roman"/>
          <w:sz w:val="24"/>
          <w:szCs w:val="24"/>
        </w:rPr>
        <w:t xml:space="preserve">often </w:t>
      </w:r>
      <w:r>
        <w:rPr>
          <w:rFonts w:ascii="Times New Roman" w:hAnsi="Times New Roman" w:cs="Times New Roman"/>
          <w:sz w:val="24"/>
          <w:szCs w:val="24"/>
        </w:rPr>
        <w:t xml:space="preserve">dependent claims, which means that they are dependent on other claims in the patent.  I suspect that the more general a patent, the more opportunities it has to be cited by other </w:t>
      </w:r>
      <w:r w:rsidR="00435D1E">
        <w:rPr>
          <w:rFonts w:ascii="Times New Roman" w:hAnsi="Times New Roman" w:cs="Times New Roman"/>
          <w:sz w:val="24"/>
          <w:szCs w:val="24"/>
        </w:rPr>
        <w:t xml:space="preserve">patents </w:t>
      </w:r>
      <w:r>
        <w:rPr>
          <w:rFonts w:ascii="Times New Roman" w:hAnsi="Times New Roman" w:cs="Times New Roman"/>
          <w:sz w:val="24"/>
          <w:szCs w:val="24"/>
        </w:rPr>
        <w:lastRenderedPageBreak/>
        <w:t xml:space="preserve">across multiple fields.   I expect the year a patent was granted and the originality of the patent to be negatively associated with the probability that a patent receives more than </w:t>
      </w:r>
      <w:r w:rsidR="00435D1E">
        <w:rPr>
          <w:rFonts w:ascii="Times New Roman" w:hAnsi="Times New Roman" w:cs="Times New Roman"/>
          <w:sz w:val="24"/>
          <w:szCs w:val="24"/>
        </w:rPr>
        <w:t>the median number of</w:t>
      </w:r>
      <w:r>
        <w:rPr>
          <w:rFonts w:ascii="Times New Roman" w:hAnsi="Times New Roman" w:cs="Times New Roman"/>
          <w:sz w:val="24"/>
          <w:szCs w:val="24"/>
        </w:rPr>
        <w:t xml:space="preserve"> citations from other patents.</w:t>
      </w:r>
      <w:r w:rsidR="00DF028A">
        <w:rPr>
          <w:rFonts w:ascii="Times New Roman" w:hAnsi="Times New Roman" w:cs="Times New Roman"/>
          <w:sz w:val="24"/>
          <w:szCs w:val="24"/>
        </w:rPr>
        <w:t xml:space="preserve">  I suspect that the older a patent is the less relevant it becomes because of the half-life of knowledge.  Also, it’s possible that the more original a patent the more difficult it is for other inventors and innovators to </w:t>
      </w:r>
      <w:r w:rsidR="00AF3007">
        <w:rPr>
          <w:rFonts w:ascii="Times New Roman" w:hAnsi="Times New Roman" w:cs="Times New Roman"/>
          <w:sz w:val="24"/>
          <w:szCs w:val="24"/>
        </w:rPr>
        <w:t>conceive</w:t>
      </w:r>
      <w:r w:rsidR="00DF028A">
        <w:rPr>
          <w:rFonts w:ascii="Times New Roman" w:hAnsi="Times New Roman" w:cs="Times New Roman"/>
          <w:sz w:val="24"/>
          <w:szCs w:val="24"/>
        </w:rPr>
        <w:t xml:space="preserve"> applications of the technology in their fields. </w:t>
      </w:r>
    </w:p>
    <w:p w:rsidR="00435D1E" w:rsidRDefault="00435D1E">
      <w:pPr>
        <w:rPr>
          <w:rFonts w:ascii="Times New Roman" w:hAnsi="Times New Roman" w:cs="Times New Roman"/>
          <w:b/>
          <w:sz w:val="24"/>
          <w:szCs w:val="24"/>
        </w:rPr>
      </w:pPr>
      <w:r>
        <w:rPr>
          <w:rFonts w:ascii="Times New Roman" w:hAnsi="Times New Roman" w:cs="Times New Roman"/>
          <w:b/>
          <w:sz w:val="24"/>
          <w:szCs w:val="24"/>
        </w:rPr>
        <w:br w:type="page"/>
      </w:r>
    </w:p>
    <w:p w:rsidR="00BC5DF9" w:rsidRDefault="00E441F9"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Operationalization</w:t>
      </w:r>
      <w:r>
        <w:rPr>
          <w:rFonts w:ascii="Times New Roman" w:hAnsi="Times New Roman" w:cs="Times New Roman"/>
          <w:b/>
          <w:sz w:val="24"/>
          <w:szCs w:val="24"/>
        </w:rPr>
        <w:t xml:space="preserve"> of </w:t>
      </w:r>
      <w:r w:rsidR="00BC5DF9">
        <w:rPr>
          <w:rFonts w:ascii="Times New Roman" w:hAnsi="Times New Roman" w:cs="Times New Roman"/>
          <w:b/>
          <w:sz w:val="24"/>
          <w:szCs w:val="24"/>
        </w:rPr>
        <w:t>Key Constructs</w:t>
      </w:r>
    </w:p>
    <w:p w:rsidR="006108F2" w:rsidRDefault="00BC5DF9" w:rsidP="006108F2">
      <w:pPr>
        <w:spacing w:after="0" w:line="480" w:lineRule="auto"/>
        <w:ind w:firstLine="720"/>
        <w:rPr>
          <w:rFonts w:ascii="Times New Roman" w:hAnsi="Times New Roman" w:cs="Times New Roman"/>
          <w:b/>
          <w:sz w:val="24"/>
          <w:szCs w:val="24"/>
        </w:rPr>
      </w:pPr>
      <w:r w:rsidRPr="00BC5DF9">
        <w:rPr>
          <w:rFonts w:ascii="Times New Roman" w:hAnsi="Times New Roman" w:cs="Times New Roman"/>
          <w:sz w:val="24"/>
          <w:szCs w:val="24"/>
        </w:rPr>
        <w:t>While there is no official definition of technology transfer, I propose that it can be broadly conceived as the conveyance from one person or entity to another person or entity of a capability to perform a useful task, achieve a beneficial accomplishment, or reap the benefits thereof.</w:t>
      </w:r>
      <w:r w:rsidR="006108F2" w:rsidRPr="006108F2">
        <w:rPr>
          <w:rFonts w:ascii="Times New Roman" w:hAnsi="Times New Roman" w:cs="Times New Roman"/>
          <w:b/>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11638"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w:t>
      </w:r>
      <w:r w:rsidR="00F95DD2">
        <w:rPr>
          <w:rFonts w:ascii="Times New Roman" w:hAnsi="Times New Roman" w:cs="Times New Roman"/>
          <w:sz w:val="24"/>
          <w:szCs w:val="24"/>
        </w:rPr>
        <w:t xml:space="preserve">lts of </w:t>
      </w:r>
      <w:r w:rsidRPr="00DA48A2">
        <w:rPr>
          <w:rFonts w:ascii="Times New Roman" w:hAnsi="Times New Roman" w:cs="Times New Roman"/>
          <w:sz w:val="24"/>
          <w:szCs w:val="24"/>
        </w:rPr>
        <w:t xml:space="preserve">previous analyses, I made several modifications to the data and incorporated several previous observations into the </w:t>
      </w:r>
      <w:r w:rsidR="00F95DD2">
        <w:rPr>
          <w:rFonts w:ascii="Times New Roman" w:hAnsi="Times New Roman" w:cs="Times New Roman"/>
          <w:sz w:val="24"/>
          <w:szCs w:val="24"/>
        </w:rPr>
        <w:t>logistic regression</w:t>
      </w:r>
      <w:r w:rsidRPr="00DA48A2">
        <w:rPr>
          <w:rFonts w:ascii="Times New Roman" w:hAnsi="Times New Roman" w:cs="Times New Roman"/>
          <w:sz w:val="24"/>
          <w:szCs w:val="24"/>
        </w:rPr>
        <w:t xml:space="preserve"> model.  </w:t>
      </w:r>
    </w:p>
    <w:p w:rsidR="00DA48A2" w:rsidRDefault="00DA48A2" w:rsidP="00611638">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 xml:space="preserve">Recode into Different </w:t>
      </w:r>
      <w:r w:rsidR="00465009">
        <w:rPr>
          <w:rFonts w:ascii="Courier New" w:hAnsi="Courier New" w:cs="Courier New"/>
          <w:sz w:val="24"/>
          <w:szCs w:val="24"/>
        </w:rPr>
        <w:lastRenderedPageBreak/>
        <w:t>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Table 3 lists the final variables that I used in the analysis.</w:t>
      </w:r>
      <w:r w:rsidR="00D34CAA">
        <w:rPr>
          <w:rFonts w:ascii="Times New Roman" w:hAnsi="Times New Roman" w:cs="Times New Roman"/>
          <w:sz w:val="24"/>
          <w:szCs w:val="24"/>
        </w:rPr>
        <w:t xml:space="preserve">  All of the IVs used in the analysis were</w:t>
      </w:r>
      <w:r w:rsidR="00834CA6">
        <w:rPr>
          <w:rFonts w:ascii="Times New Roman" w:hAnsi="Times New Roman" w:cs="Times New Roman"/>
          <w:sz w:val="24"/>
          <w:szCs w:val="24"/>
        </w:rPr>
        <w:t xml:space="preserve"> continuous</w:t>
      </w:r>
      <w:r w:rsidR="00D34CAA">
        <w:rPr>
          <w:rFonts w:ascii="Times New Roman" w:hAnsi="Times New Roman" w:cs="Times New Roman"/>
          <w:sz w:val="24"/>
          <w:szCs w:val="24"/>
        </w:rPr>
        <w:t xml:space="preserve"> interval</w:t>
      </w:r>
      <w:r w:rsidR="001D6329">
        <w:rPr>
          <w:rFonts w:ascii="Times New Roman" w:hAnsi="Times New Roman" w:cs="Times New Roman"/>
          <w:sz w:val="24"/>
          <w:szCs w:val="24"/>
        </w:rPr>
        <w:t xml:space="preserve"> or ratio</w:t>
      </w:r>
      <w:r w:rsidR="00D34CAA">
        <w:rPr>
          <w:rFonts w:ascii="Times New Roman" w:hAnsi="Times New Roman" w:cs="Times New Roman"/>
          <w:sz w:val="24"/>
          <w:szCs w:val="24"/>
        </w:rPr>
        <w:t xml:space="preserve"> variables.</w:t>
      </w:r>
    </w:p>
    <w:p w:rsidR="00250EC3" w:rsidRPr="0003023E" w:rsidRDefault="00B212F2"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and </w:t>
      </w:r>
      <w:r w:rsidR="00250EC3" w:rsidRPr="0003023E">
        <w:rPr>
          <w:rFonts w:ascii="Times New Roman" w:hAnsi="Times New Roman" w:cs="Times New Roman"/>
          <w:b/>
          <w:sz w:val="24"/>
          <w:szCs w:val="24"/>
        </w:rPr>
        <w:t>Results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 xml:space="preserve">Logistic Regression </w:t>
      </w:r>
      <w:proofErr w:type="gramStart"/>
      <w:r w:rsidR="00043C5B" w:rsidRPr="00017234">
        <w:rPr>
          <w:rFonts w:ascii="Courier New" w:hAnsi="Courier New" w:cs="Courier New"/>
          <w:sz w:val="24"/>
          <w:szCs w:val="24"/>
        </w:rPr>
        <w:t>Options</w:t>
      </w:r>
      <w:proofErr w:type="gramEnd"/>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BE372A" w:rsidRDefault="00BE372A" w:rsidP="00BE372A">
      <w:pPr>
        <w:rPr>
          <w:rFonts w:ascii="Times New Roman" w:hAnsi="Times New Roman" w:cs="Times New Roman"/>
          <w:sz w:val="24"/>
          <w:szCs w:val="24"/>
        </w:rPr>
      </w:pPr>
      <w:r>
        <w:rPr>
          <w:rFonts w:ascii="Times New Roman" w:hAnsi="Times New Roman" w:cs="Times New Roman"/>
          <w:sz w:val="24"/>
          <w:szCs w:val="24"/>
        </w:rPr>
        <w:t>Table 1</w:t>
      </w:r>
    </w:p>
    <w:p w:rsidR="00BE372A" w:rsidRPr="00BE372A" w:rsidRDefault="00BE372A" w:rsidP="00BE372A">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BE372A" w:rsidRPr="00BE372A" w:rsidTr="004A2BFE">
        <w:trPr>
          <w:cantSplit/>
          <w:trHeight w:val="341"/>
        </w:trPr>
        <w:tc>
          <w:tcPr>
            <w:tcW w:w="1897" w:type="dxa"/>
            <w:gridSpan w:val="2"/>
            <w:vMerge w:val="restart"/>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BE372A" w:rsidRPr="00BE372A" w:rsidTr="004A2BFE">
        <w:trPr>
          <w:cantSplit/>
          <w:trHeight w:val="157"/>
        </w:trPr>
        <w:tc>
          <w:tcPr>
            <w:tcW w:w="1897" w:type="dxa"/>
            <w:gridSpan w:val="2"/>
            <w:vMerge/>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BE372A" w:rsidRPr="00BE372A" w:rsidTr="004A2BFE">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r>
      <w:tr w:rsidR="00BE372A" w:rsidRPr="00BE372A" w:rsidTr="00EE05B8">
        <w:trPr>
          <w:cantSplit/>
          <w:trHeight w:val="356"/>
        </w:trPr>
        <w:tc>
          <w:tcPr>
            <w:tcW w:w="9421" w:type="dxa"/>
            <w:gridSpan w:val="10"/>
            <w:tcBorders>
              <w:top w:val="nil"/>
              <w:left w:val="nil"/>
              <w:bottom w:val="nil"/>
              <w:right w:val="nil"/>
            </w:tcBorders>
            <w:shd w:val="clear" w:color="auto" w:fill="FFFFFF"/>
          </w:tcPr>
          <w:p w:rsidR="00BE372A" w:rsidRPr="00BE372A" w:rsidRDefault="00BE372A" w:rsidP="00BE372A">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a. Variable(s) entered on step 1: CLAIMS, GYEAR, GENERAL, ORIGINAL.</w:t>
            </w:r>
          </w:p>
        </w:tc>
      </w:tr>
    </w:tbl>
    <w:p w:rsidR="00BE372A" w:rsidRPr="00BE372A" w:rsidRDefault="00BE372A" w:rsidP="00BE372A">
      <w:pPr>
        <w:autoSpaceDE w:val="0"/>
        <w:autoSpaceDN w:val="0"/>
        <w:adjustRightInd w:val="0"/>
        <w:spacing w:after="0" w:line="400" w:lineRule="atLeast"/>
        <w:rPr>
          <w:rFonts w:ascii="Times New Roman" w:hAnsi="Times New Roman" w:cs="Times New Roman"/>
          <w:sz w:val="24"/>
          <w:szCs w:val="24"/>
        </w:rPr>
      </w:pP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C33E3"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C05AC4">
        <w:rPr>
          <w:rFonts w:ascii="Times New Roman" w:hAnsi="Times New Roman" w:cs="Times New Roman"/>
          <w:sz w:val="24"/>
          <w:szCs w:val="24"/>
        </w:rPr>
        <w:t>here</w:t>
      </w:r>
      <w:proofErr w:type="gramEnd"/>
      <w:r w:rsidR="00C05AC4">
        <w:rPr>
          <w:rFonts w:ascii="Times New Roman" w:hAnsi="Times New Roman" w:cs="Times New Roman"/>
          <w:sz w:val="24"/>
          <w:szCs w:val="24"/>
        </w:rPr>
        <w:t xml:space="preserv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rsidR="009D2A67" w:rsidRDefault="00902F6A" w:rsidP="00347B6E">
      <w:pPr>
        <w:spacing w:after="0" w:line="480" w:lineRule="auto"/>
        <w:ind w:firstLine="72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Pr>
          <w:rFonts w:ascii="Times New Roman" w:hAnsi="Times New Roman" w:cs="Times New Roman"/>
          <w:sz w:val="24"/>
          <w:szCs w:val="24"/>
        </w:rPr>
        <w:t xml:space="preserve"> </w:t>
      </w:r>
      <w:r w:rsidR="00C05481">
        <w:rPr>
          <w:rFonts w:ascii="Times New Roman" w:hAnsi="Times New Roman" w:cs="Times New Roman"/>
          <w:sz w:val="24"/>
          <w:szCs w:val="24"/>
        </w:rPr>
        <w:t>= Logit</w:t>
      </w:r>
      <w:r w:rsidR="00C05481">
        <w:rPr>
          <w:rFonts w:ascii="Times New Roman" w:hAnsi="Times New Roman" w:cs="Times New Roman"/>
          <w:sz w:val="24"/>
          <w:szCs w:val="24"/>
          <w:vertAlign w:val="superscript"/>
        </w:rPr>
        <w:t>-1</w:t>
      </w:r>
      <w:r w:rsidR="00C05481">
        <w:rPr>
          <w:rFonts w:ascii="Times New Roman" w:hAnsi="Times New Roman" w:cs="Times New Roman"/>
          <w:sz w:val="24"/>
          <w:szCs w:val="24"/>
        </w:rPr>
        <w:t>(</w:t>
      </w:r>
      <m:oMath>
        <m:r>
          <w:rPr>
            <w:rFonts w:ascii="Cambria Math" w:hAnsi="Cambria Math" w:cs="Times New Roman"/>
            <w:sz w:val="24"/>
            <w:szCs w:val="24"/>
          </w:rPr>
          <m:t>p</m:t>
        </m:r>
      </m:oMath>
      <w:r w:rsidR="00C05481">
        <w:rPr>
          <w:rFonts w:ascii="Times New Roman" w:hAnsi="Times New Roman" w:cs="Times New Roman"/>
          <w:sz w:val="24"/>
          <w:szCs w:val="24"/>
        </w:rPr>
        <w:t xml:space="preserve">) </w:t>
      </w:r>
      <w:r w:rsidR="009D2A6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1+ 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den>
        </m:f>
      </m:oMath>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xml:space="preserve">, which was </w:t>
      </w:r>
      <w:r w:rsidR="00FE332A">
        <w:rPr>
          <w:rFonts w:ascii="Times New Roman" w:hAnsi="Times New Roman" w:cs="Times New Roman"/>
          <w:sz w:val="24"/>
          <w:szCs w:val="24"/>
        </w:rPr>
        <w:lastRenderedPageBreak/>
        <w:t>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The -2 Log likelihood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745555" w:rsidRP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745555" w:rsidRPr="00745555" w:rsidTr="004A2BFE">
        <w:trPr>
          <w:cantSplit/>
        </w:trPr>
        <w:tc>
          <w:tcPr>
            <w:tcW w:w="1621" w:type="dxa"/>
            <w:gridSpan w:val="2"/>
            <w:tcBorders>
              <w:top w:val="nil"/>
              <w:left w:val="nil"/>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745555" w:rsidRPr="00745555" w:rsidTr="004A2BFE">
        <w:trPr>
          <w:cantSplit/>
        </w:trPr>
        <w:tc>
          <w:tcPr>
            <w:tcW w:w="825" w:type="dxa"/>
            <w:vMerge w:val="restart"/>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AF3007"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AF3007" w:rsidRPr="00AF3007" w:rsidRDefault="00AF3007" w:rsidP="00AF3007">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F3007" w:rsidRPr="00AF3007" w:rsidTr="00AF3007">
        <w:trPr>
          <w:cantSplit/>
        </w:trPr>
        <w:tc>
          <w:tcPr>
            <w:tcW w:w="735" w:type="dxa"/>
            <w:tcBorders>
              <w:top w:val="nil"/>
              <w:left w:val="nil"/>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AF3007" w:rsidRPr="00AF3007" w:rsidTr="00AF3007">
        <w:trPr>
          <w:cantSplit/>
        </w:trPr>
        <w:tc>
          <w:tcPr>
            <w:tcW w:w="735" w:type="dxa"/>
            <w:tcBorders>
              <w:top w:val="single" w:sz="8" w:space="0" w:color="152935"/>
              <w:left w:val="nil"/>
              <w:bottom w:val="single" w:sz="8" w:space="0" w:color="152935"/>
              <w:right w:val="nil"/>
            </w:tcBorders>
            <w:shd w:val="clear" w:color="auto" w:fill="E0E0E0"/>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AF3007" w:rsidRPr="00AF3007" w:rsidTr="00AF3007">
        <w:trPr>
          <w:cantSplit/>
        </w:trPr>
        <w:tc>
          <w:tcPr>
            <w:tcW w:w="5139" w:type="dxa"/>
            <w:gridSpan w:val="4"/>
            <w:tcBorders>
              <w:top w:val="nil"/>
              <w:left w:val="nil"/>
              <w:bottom w:val="nil"/>
              <w:right w:val="nil"/>
            </w:tcBorders>
            <w:shd w:val="clear" w:color="auto" w:fill="FFFFFF"/>
          </w:tcPr>
          <w:p w:rsidR="00AF3007" w:rsidRPr="00AF3007" w:rsidRDefault="00AF3007" w:rsidP="00AF3007">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t>a. Estimation terminated at iteration number 6 because parameter estimates changed by less than .001.</w:t>
            </w:r>
          </w:p>
        </w:tc>
      </w:tr>
    </w:tbl>
    <w:p w:rsidR="00AF3007" w:rsidRDefault="00AF3007" w:rsidP="00250EC3">
      <w:pPr>
        <w:spacing w:after="0" w:line="480" w:lineRule="auto"/>
        <w:rPr>
          <w:rFonts w:ascii="Times New Roman" w:hAnsi="Times New Roman" w:cs="Times New Roman"/>
          <w:sz w:val="24"/>
          <w:szCs w:val="24"/>
        </w:rPr>
      </w:pP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4A2BFE" w:rsidRPr="004A2BFE" w:rsidTr="004A2BFE">
        <w:trPr>
          <w:cantSplit/>
        </w:trPr>
        <w:tc>
          <w:tcPr>
            <w:tcW w:w="733" w:type="dxa"/>
            <w:tcBorders>
              <w:top w:val="nil"/>
              <w:left w:val="nil"/>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4A2BFE" w:rsidRPr="004A2BFE" w:rsidTr="004A2BFE">
        <w:trPr>
          <w:cantSplit/>
        </w:trPr>
        <w:tc>
          <w:tcPr>
            <w:tcW w:w="733" w:type="dxa"/>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4A2BFE" w:rsidRPr="004A2BFE" w:rsidRDefault="004A2BFE" w:rsidP="004A2BFE">
      <w:pPr>
        <w:autoSpaceDE w:val="0"/>
        <w:autoSpaceDN w:val="0"/>
        <w:adjustRightInd w:val="0"/>
        <w:spacing w:after="0" w:line="400" w:lineRule="atLeast"/>
        <w:rPr>
          <w:rFonts w:ascii="Times New Roman" w:hAnsi="Times New Roman" w:cs="Times New Roman"/>
          <w:sz w:val="24"/>
          <w:szCs w:val="24"/>
        </w:rPr>
      </w:pP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4A2BFE" w:rsidRPr="004A2BFE" w:rsidTr="004A2BFE">
        <w:trPr>
          <w:cantSplit/>
        </w:trPr>
        <w:tc>
          <w:tcPr>
            <w:tcW w:w="1562" w:type="dxa"/>
            <w:gridSpan w:val="2"/>
            <w:vMerge w:val="restart"/>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4A2BFE" w:rsidRPr="004A2BFE" w:rsidTr="004A2BFE">
        <w:trPr>
          <w:cantSplit/>
        </w:trPr>
        <w:tc>
          <w:tcPr>
            <w:tcW w:w="1562" w:type="dxa"/>
            <w:gridSpan w:val="2"/>
            <w:vMerge/>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r>
      <w:tr w:rsidR="004A2BFE" w:rsidRPr="004A2BFE" w:rsidTr="004A2BFE">
        <w:trPr>
          <w:cantSplit/>
        </w:trPr>
        <w:tc>
          <w:tcPr>
            <w:tcW w:w="827" w:type="dxa"/>
            <w:vMerge w:val="restart"/>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w:t>
      </w:r>
      <w:r w:rsidRPr="00515BF4">
        <w:rPr>
          <w:rFonts w:ascii="Times New Roman" w:hAnsi="Times New Roman" w:cs="Times New Roman"/>
          <w:sz w:val="24"/>
          <w:szCs w:val="24"/>
        </w:rPr>
        <w:lastRenderedPageBreak/>
        <w:t>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w:t>
      </w:r>
      <w:r w:rsidR="00515BF4" w:rsidRPr="00515BF4">
        <w:rPr>
          <w:rFonts w:ascii="Times New Roman" w:hAnsi="Times New Roman" w:cs="Times New Roman"/>
          <w:sz w:val="24"/>
          <w:szCs w:val="24"/>
        </w:rPr>
        <w:lastRenderedPageBreak/>
        <w:t xml:space="preserve">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BB7F88" w:rsidRDefault="00BB7F88" w:rsidP="00BB7F8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ment and Budget [OMB]. (2008</w:t>
      </w:r>
      <w:r>
        <w:rPr>
          <w:rFonts w:ascii="Times New Roman" w:hAnsi="Times New Roman" w:cs="Times New Roman"/>
          <w:sz w:val="24"/>
          <w:szCs w:val="24"/>
        </w:rPr>
        <w:t xml:space="preserve">).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Pr>
          <w:rFonts w:ascii="Times New Roman" w:hAnsi="Times New Roman" w:cs="Times New Roman"/>
          <w:sz w:val="24"/>
          <w:szCs w:val="24"/>
        </w:rPr>
        <w:t>{ENTER LINK}</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Pr="0070304D"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sectPr w:rsidR="00D6439B" w:rsidRPr="0070304D"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F6A" w:rsidRDefault="00902F6A" w:rsidP="00ED3A93">
      <w:pPr>
        <w:spacing w:after="0" w:line="240" w:lineRule="auto"/>
      </w:pPr>
      <w:r>
        <w:separator/>
      </w:r>
    </w:p>
  </w:endnote>
  <w:endnote w:type="continuationSeparator" w:id="0">
    <w:p w:rsidR="00902F6A" w:rsidRDefault="00902F6A"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F6A" w:rsidRDefault="00902F6A" w:rsidP="00ED3A93">
      <w:pPr>
        <w:spacing w:after="0" w:line="240" w:lineRule="auto"/>
      </w:pPr>
      <w:r>
        <w:separator/>
      </w:r>
    </w:p>
  </w:footnote>
  <w:footnote w:type="continuationSeparator" w:id="0">
    <w:p w:rsidR="00902F6A" w:rsidRDefault="00902F6A"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81FC8">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81FC8">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30383"/>
    <w:rsid w:val="00043C5B"/>
    <w:rsid w:val="00050454"/>
    <w:rsid w:val="000819E9"/>
    <w:rsid w:val="000837EA"/>
    <w:rsid w:val="00095EE1"/>
    <w:rsid w:val="000B4992"/>
    <w:rsid w:val="000C2A0E"/>
    <w:rsid w:val="000E4997"/>
    <w:rsid w:val="00107729"/>
    <w:rsid w:val="00121BA5"/>
    <w:rsid w:val="00135A7B"/>
    <w:rsid w:val="001418B7"/>
    <w:rsid w:val="00145FC5"/>
    <w:rsid w:val="00167167"/>
    <w:rsid w:val="00183221"/>
    <w:rsid w:val="001928A1"/>
    <w:rsid w:val="001A16FC"/>
    <w:rsid w:val="001C6060"/>
    <w:rsid w:val="001D6329"/>
    <w:rsid w:val="001F264D"/>
    <w:rsid w:val="00205B2C"/>
    <w:rsid w:val="00231217"/>
    <w:rsid w:val="00250EC3"/>
    <w:rsid w:val="00264174"/>
    <w:rsid w:val="00267CD3"/>
    <w:rsid w:val="002829D7"/>
    <w:rsid w:val="0028689B"/>
    <w:rsid w:val="00287689"/>
    <w:rsid w:val="002B1431"/>
    <w:rsid w:val="002B2828"/>
    <w:rsid w:val="002B7C17"/>
    <w:rsid w:val="002F6471"/>
    <w:rsid w:val="00304149"/>
    <w:rsid w:val="0030442E"/>
    <w:rsid w:val="0031708C"/>
    <w:rsid w:val="003435C2"/>
    <w:rsid w:val="00347B6E"/>
    <w:rsid w:val="0035422A"/>
    <w:rsid w:val="00362D86"/>
    <w:rsid w:val="00362FE5"/>
    <w:rsid w:val="0039402D"/>
    <w:rsid w:val="00395942"/>
    <w:rsid w:val="00435D1E"/>
    <w:rsid w:val="0044284E"/>
    <w:rsid w:val="00452D79"/>
    <w:rsid w:val="00465009"/>
    <w:rsid w:val="00492BB0"/>
    <w:rsid w:val="004A2BFE"/>
    <w:rsid w:val="004D2674"/>
    <w:rsid w:val="00515BF4"/>
    <w:rsid w:val="00516C41"/>
    <w:rsid w:val="00522BED"/>
    <w:rsid w:val="00535B27"/>
    <w:rsid w:val="00553249"/>
    <w:rsid w:val="00556E08"/>
    <w:rsid w:val="0059137D"/>
    <w:rsid w:val="00593778"/>
    <w:rsid w:val="005941BF"/>
    <w:rsid w:val="00594A44"/>
    <w:rsid w:val="00595F8C"/>
    <w:rsid w:val="005A46F1"/>
    <w:rsid w:val="005B60C8"/>
    <w:rsid w:val="005C3A1F"/>
    <w:rsid w:val="005D0825"/>
    <w:rsid w:val="005D3F04"/>
    <w:rsid w:val="005F5941"/>
    <w:rsid w:val="006108F2"/>
    <w:rsid w:val="00611638"/>
    <w:rsid w:val="006176B2"/>
    <w:rsid w:val="00661871"/>
    <w:rsid w:val="00694596"/>
    <w:rsid w:val="006B104D"/>
    <w:rsid w:val="006C0768"/>
    <w:rsid w:val="006D4A47"/>
    <w:rsid w:val="006E26EC"/>
    <w:rsid w:val="006F794F"/>
    <w:rsid w:val="0070304D"/>
    <w:rsid w:val="007030CA"/>
    <w:rsid w:val="00712F19"/>
    <w:rsid w:val="00745555"/>
    <w:rsid w:val="00753FA7"/>
    <w:rsid w:val="00755F3B"/>
    <w:rsid w:val="0077621E"/>
    <w:rsid w:val="00780AC5"/>
    <w:rsid w:val="00781FC8"/>
    <w:rsid w:val="00791766"/>
    <w:rsid w:val="007A1DC5"/>
    <w:rsid w:val="007A6FD9"/>
    <w:rsid w:val="007C6F82"/>
    <w:rsid w:val="007E6816"/>
    <w:rsid w:val="00811F0D"/>
    <w:rsid w:val="0082229D"/>
    <w:rsid w:val="00826F36"/>
    <w:rsid w:val="00834CA6"/>
    <w:rsid w:val="0084229F"/>
    <w:rsid w:val="00853D7F"/>
    <w:rsid w:val="00857A0E"/>
    <w:rsid w:val="008774F5"/>
    <w:rsid w:val="00897975"/>
    <w:rsid w:val="008D0DFC"/>
    <w:rsid w:val="008E0001"/>
    <w:rsid w:val="008E0821"/>
    <w:rsid w:val="00902F6A"/>
    <w:rsid w:val="009059D6"/>
    <w:rsid w:val="009171D5"/>
    <w:rsid w:val="00944360"/>
    <w:rsid w:val="00974F5C"/>
    <w:rsid w:val="00993EDF"/>
    <w:rsid w:val="009A0387"/>
    <w:rsid w:val="009A5720"/>
    <w:rsid w:val="009C33E3"/>
    <w:rsid w:val="009D12CE"/>
    <w:rsid w:val="009D2A67"/>
    <w:rsid w:val="009D4B6F"/>
    <w:rsid w:val="009E16F8"/>
    <w:rsid w:val="009F6BCA"/>
    <w:rsid w:val="00A00544"/>
    <w:rsid w:val="00A14AAF"/>
    <w:rsid w:val="00A317C8"/>
    <w:rsid w:val="00A56D78"/>
    <w:rsid w:val="00A95B39"/>
    <w:rsid w:val="00AA78A5"/>
    <w:rsid w:val="00AB1AD8"/>
    <w:rsid w:val="00AB4934"/>
    <w:rsid w:val="00AC2C6F"/>
    <w:rsid w:val="00AD2CB2"/>
    <w:rsid w:val="00AD469C"/>
    <w:rsid w:val="00AE2F9F"/>
    <w:rsid w:val="00AF3007"/>
    <w:rsid w:val="00B108C4"/>
    <w:rsid w:val="00B13DC9"/>
    <w:rsid w:val="00B1423F"/>
    <w:rsid w:val="00B20B57"/>
    <w:rsid w:val="00B212F2"/>
    <w:rsid w:val="00B31A68"/>
    <w:rsid w:val="00B53472"/>
    <w:rsid w:val="00B55147"/>
    <w:rsid w:val="00B77986"/>
    <w:rsid w:val="00B902A3"/>
    <w:rsid w:val="00BB30EF"/>
    <w:rsid w:val="00BB72F2"/>
    <w:rsid w:val="00BB7F88"/>
    <w:rsid w:val="00BC5DF9"/>
    <w:rsid w:val="00BD4077"/>
    <w:rsid w:val="00BE372A"/>
    <w:rsid w:val="00C05481"/>
    <w:rsid w:val="00C05AC4"/>
    <w:rsid w:val="00C1307D"/>
    <w:rsid w:val="00C27E3C"/>
    <w:rsid w:val="00C30FC4"/>
    <w:rsid w:val="00C47E6E"/>
    <w:rsid w:val="00C84A5B"/>
    <w:rsid w:val="00C853DF"/>
    <w:rsid w:val="00CA20D7"/>
    <w:rsid w:val="00CC1A30"/>
    <w:rsid w:val="00CD2E27"/>
    <w:rsid w:val="00CD7A61"/>
    <w:rsid w:val="00D02FEA"/>
    <w:rsid w:val="00D127D6"/>
    <w:rsid w:val="00D1795C"/>
    <w:rsid w:val="00D226EC"/>
    <w:rsid w:val="00D24CDD"/>
    <w:rsid w:val="00D33AD0"/>
    <w:rsid w:val="00D34CAA"/>
    <w:rsid w:val="00D432EF"/>
    <w:rsid w:val="00D4639F"/>
    <w:rsid w:val="00D6439B"/>
    <w:rsid w:val="00D859C5"/>
    <w:rsid w:val="00D86C5D"/>
    <w:rsid w:val="00DA45BC"/>
    <w:rsid w:val="00DA48A2"/>
    <w:rsid w:val="00DA6058"/>
    <w:rsid w:val="00DC3C6C"/>
    <w:rsid w:val="00DD1EAF"/>
    <w:rsid w:val="00DF028A"/>
    <w:rsid w:val="00DF4DF5"/>
    <w:rsid w:val="00E441F9"/>
    <w:rsid w:val="00E53AF5"/>
    <w:rsid w:val="00E7090D"/>
    <w:rsid w:val="00E86DCB"/>
    <w:rsid w:val="00EB3DE9"/>
    <w:rsid w:val="00EC7326"/>
    <w:rsid w:val="00ED3A93"/>
    <w:rsid w:val="00EE05B8"/>
    <w:rsid w:val="00EE4231"/>
    <w:rsid w:val="00EE7743"/>
    <w:rsid w:val="00F27DEB"/>
    <w:rsid w:val="00F50EF1"/>
    <w:rsid w:val="00F71CAA"/>
    <w:rsid w:val="00F8135A"/>
    <w:rsid w:val="00F8421B"/>
    <w:rsid w:val="00F92449"/>
    <w:rsid w:val="00F94A92"/>
    <w:rsid w:val="00F95DD2"/>
    <w:rsid w:val="00FC1B6A"/>
    <w:rsid w:val="00FE13E1"/>
    <w:rsid w:val="00FE2921"/>
    <w:rsid w:val="00FE332A"/>
    <w:rsid w:val="00FE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5AC60E"/>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25</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193</cp:revision>
  <dcterms:created xsi:type="dcterms:W3CDTF">2018-09-18T16:55:00Z</dcterms:created>
  <dcterms:modified xsi:type="dcterms:W3CDTF">2019-07-13T14:32:00Z</dcterms:modified>
</cp:coreProperties>
</file>