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technologies derived from federally-funded research and development (R&amp;D), so called technology transfer, is arguably one of the highest public policy priorities of the United States of America (U.S. or USA).  It was listed as a top priority in the </w:t>
      </w:r>
      <w:bookmarkStart w:id="0" w:name="_GoBack"/>
      <w:bookmarkEnd w:id="0"/>
      <w:r w:rsidR="009F6BCA">
        <w:rPr>
          <w:rFonts w:ascii="Times New Roman" w:hAnsi="Times New Roman" w:cs="Times New Roman"/>
          <w:sz w:val="24"/>
          <w:szCs w:val="24"/>
        </w:rPr>
        <w:t>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 OMB 2008</w:t>
      </w:r>
      <w:r w:rsidR="00BB7F88">
        <w:rPr>
          <w:rFonts w:ascii="Times New Roman" w:hAnsi="Times New Roman" w:cs="Times New Roman"/>
          <w:sz w:val="24"/>
          <w:szCs w:val="24"/>
        </w:rPr>
        <w:t>,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w:t>
      </w:r>
      <w:r>
        <w:rPr>
          <w:rFonts w:ascii="Times New Roman" w:hAnsi="Times New Roman" w:cs="Times New Roman"/>
          <w:sz w:val="24"/>
          <w:szCs w:val="24"/>
        </w:rPr>
        <w:t xml:space="preserve"> we measure the payo</w:t>
      </w:r>
      <w:r>
        <w:rPr>
          <w:rFonts w:ascii="Times New Roman" w:hAnsi="Times New Roman" w:cs="Times New Roman"/>
          <w:sz w:val="24"/>
          <w:szCs w:val="24"/>
        </w:rPr>
        <w:t>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 xml:space="preserve">Technology transfer is a concept for which there is no official definition.  While most studies of the topic don’t explicitly define technology transfer, they generally seem to operationalize it as a financially-based exchange </w:t>
      </w:r>
      <w:r w:rsidR="007A15DA">
        <w:rPr>
          <w:rFonts w:ascii="Times New Roman" w:hAnsi="Times New Roman" w:cs="Times New Roman"/>
          <w:sz w:val="24"/>
          <w:szCs w:val="24"/>
        </w:rPr>
        <w:t>(Gonzalez-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w:t>
      </w:r>
      <w:r w:rsidR="007A15DA">
        <w:rPr>
          <w:rFonts w:ascii="Times New Roman" w:hAnsi="Times New Roman" w:cs="Times New Roman"/>
          <w:sz w:val="24"/>
          <w:szCs w:val="24"/>
        </w:rPr>
        <w:t xml:space="preserve">he operationalization of the construct in </w:t>
      </w:r>
      <w:r w:rsidR="007A15DA">
        <w:rPr>
          <w:rFonts w:ascii="Times New Roman" w:hAnsi="Times New Roman" w:cs="Times New Roman"/>
          <w:sz w:val="24"/>
          <w:szCs w:val="24"/>
        </w:rPr>
        <w:t xml:space="preserve">these </w:t>
      </w:r>
      <w:r w:rsidR="007A15DA">
        <w:rPr>
          <w:rFonts w:ascii="Times New Roman" w:hAnsi="Times New Roman" w:cs="Times New Roman"/>
          <w:sz w:val="24"/>
          <w:szCs w:val="24"/>
        </w:rPr>
        <w:t>studies generally seems to conflate the concept of technology transfer with the mechanisms for achieving it.  Licensing, new venture formation, research collaboration, and faculty consulting are generally used as in</w:t>
      </w:r>
      <w:r w:rsidR="007A15DA">
        <w:rPr>
          <w:rFonts w:ascii="Times New Roman" w:hAnsi="Times New Roman" w:cs="Times New Roman"/>
          <w:sz w:val="24"/>
          <w:szCs w:val="24"/>
        </w:rPr>
        <w:t>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 xml:space="preserve">studied the citation frequency of patents using several types of regression analysis including multiple linear, logistic, and binomial.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p>
    <w:p w:rsidR="00B13DC9" w:rsidRDefault="00176833"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Various</w:t>
      </w:r>
      <w:r w:rsidR="006603D4">
        <w:rPr>
          <w:rFonts w:ascii="Times New Roman" w:hAnsi="Times New Roman" w:cs="Times New Roman"/>
          <w:sz w:val="24"/>
          <w:szCs w:val="24"/>
        </w:rPr>
        <w:t xml:space="preserve"> regression analysis methods</w:t>
      </w:r>
      <w:r>
        <w:rPr>
          <w:rFonts w:ascii="Times New Roman" w:hAnsi="Times New Roman" w:cs="Times New Roman"/>
          <w:sz w:val="24"/>
          <w:szCs w:val="24"/>
        </w:rPr>
        <w:t xml:space="preserve"> have been used to understand and explain the technology transfer process.  </w:t>
      </w:r>
      <w:r w:rsidR="002A0CBE">
        <w:rPr>
          <w:rFonts w:ascii="Times New Roman" w:hAnsi="Times New Roman" w:cs="Times New Roman"/>
          <w:sz w:val="24"/>
          <w:szCs w:val="24"/>
        </w:rPr>
        <w:t xml:space="preserve">These studies suggest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FF5710" w:rsidRPr="00FF5710" w:rsidRDefault="00FF5710" w:rsidP="00FF5710">
      <w:pPr>
        <w:spacing w:after="0" w:line="480" w:lineRule="auto"/>
        <w:rPr>
          <w:rFonts w:ascii="Times New Roman" w:hAnsi="Times New Roman" w:cs="Times New Roman"/>
          <w:b/>
          <w:sz w:val="24"/>
          <w:szCs w:val="24"/>
        </w:rPr>
      </w:pPr>
      <w:r w:rsidRPr="00FF5710">
        <w:rPr>
          <w:rFonts w:ascii="Times New Roman" w:hAnsi="Times New Roman" w:cs="Times New Roman"/>
          <w:b/>
          <w:sz w:val="24"/>
          <w:szCs w:val="24"/>
        </w:rPr>
        <w:t>Research Questions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generation of a technology is not the only benefit derived from research and development, it’s reasonable to conclude that the objective of public policy regarding federally-funded R&amp;D should be to maximize all types of benefits derived from R&amp;D efforts.  In this context, the transfer of technologies derived from federally-funded R&amp;D to the private sector (i.e., technology transfer) is only one type of benefit.  As the literature reveals, there can be other </w:t>
      </w:r>
      <w:r>
        <w:rPr>
          <w:rFonts w:ascii="Times New Roman" w:hAnsi="Times New Roman" w:cs="Times New Roman"/>
          <w:sz w:val="24"/>
          <w:szCs w:val="24"/>
        </w:rPr>
        <w:lastRenderedPageBreak/>
        <w:t>types of benefits such as the transfer of knowledge derived from federally-funded R&amp;D.</w:t>
      </w:r>
      <w:r w:rsidR="008B0E48">
        <w:rPr>
          <w:rFonts w:ascii="Times New Roman" w:hAnsi="Times New Roman" w:cs="Times New Roman"/>
          <w:sz w:val="24"/>
          <w:szCs w:val="24"/>
        </w:rPr>
        <w:t xml:space="preserve">  This is context in which this study is conducted.</w:t>
      </w:r>
    </w:p>
    <w:p w:rsidR="00A95B39" w:rsidRDefault="00B75648"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should</w:t>
      </w:r>
      <w:r w:rsidR="00D2614D" w:rsidRPr="001418B7">
        <w:rPr>
          <w:rFonts w:ascii="Times New Roman" w:hAnsi="Times New Roman" w:cs="Times New Roman"/>
          <w:sz w:val="24"/>
          <w:szCs w:val="24"/>
        </w:rPr>
        <w:t xml:space="preserve">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sidR="006720CB">
        <w:rPr>
          <w:rFonts w:ascii="Times New Roman" w:hAnsi="Times New Roman" w:cs="Times New Roman"/>
          <w:sz w:val="24"/>
          <w:szCs w:val="24"/>
        </w:rPr>
        <w:t>s</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Aside from technology, what are the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about the factors that drive benefits derived from federally-funded R&amp;D 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Most studies in this area 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technologies derived from R&amp;D to the private sector (i.e., technology transfer).  Moreover, most </w:t>
      </w:r>
      <w:r w:rsidR="00C816E9" w:rsidRPr="001418B7">
        <w:rPr>
          <w:rFonts w:ascii="Times New Roman" w:hAnsi="Times New Roman" w:cs="Times New Roman"/>
          <w:sz w:val="24"/>
          <w:szCs w:val="24"/>
        </w:rPr>
        <w:t xml:space="preserve">studies of technology transfer </w:t>
      </w:r>
      <w:r w:rsidR="00F3028B">
        <w:rPr>
          <w:rFonts w:ascii="Times New Roman" w:hAnsi="Times New Roman" w:cs="Times New Roman"/>
          <w:sz w:val="24"/>
          <w:szCs w:val="24"/>
        </w:rPr>
        <w:t xml:space="preserve">seem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defines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0510AA">
        <w:rPr>
          <w:rFonts w:ascii="Times New Roman" w:hAnsi="Times New Roman" w:cs="Times New Roman"/>
          <w:sz w:val="24"/>
          <w:szCs w:val="24"/>
        </w:rPr>
        <w:t xml:space="preserve">and the claims of those patents </w:t>
      </w:r>
      <w:r w:rsidR="00F033AC">
        <w:rPr>
          <w:rFonts w:ascii="Times New Roman" w:hAnsi="Times New Roman" w:cs="Times New Roman"/>
          <w:sz w:val="24"/>
          <w:szCs w:val="24"/>
        </w:rPr>
        <w:t>are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0510AA">
        <w:rPr>
          <w:rFonts w:ascii="Times New Roman" w:hAnsi="Times New Roman" w:cs="Times New Roman"/>
          <w:sz w:val="24"/>
          <w:szCs w:val="24"/>
        </w:rPr>
        <w:t xml:space="preserve"> are used as a proxy for the transfer of that knowledge.</w:t>
      </w:r>
    </w:p>
    <w:p w:rsidR="00BE3E25" w:rsidRPr="00CC1A30" w:rsidRDefault="00A22D7F"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makes several hypotheses about the factors that are associated with the transfer of new knowledge derived from research and development. One hypothesis is </w:t>
      </w:r>
      <w:r w:rsidR="00BE3E25">
        <w:rPr>
          <w:rFonts w:ascii="Times New Roman" w:hAnsi="Times New Roman" w:cs="Times New Roman"/>
          <w:sz w:val="24"/>
          <w:szCs w:val="24"/>
        </w:rPr>
        <w:t xml:space="preserve">that the number of claims made by a patent and the generality of the patent will both have a positive </w:t>
      </w:r>
      <w:r w:rsidR="00BE3E25">
        <w:rPr>
          <w:rFonts w:ascii="Times New Roman" w:hAnsi="Times New Roman" w:cs="Times New Roman"/>
          <w:sz w:val="24"/>
          <w:szCs w:val="24"/>
        </w:rPr>
        <w:lastRenderedPageBreak/>
        <w:t>association with the pro</w:t>
      </w:r>
      <w:r>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 xml:space="preserve">It is theorized that </w:t>
      </w:r>
      <w:r w:rsidR="00BE3E25">
        <w:rPr>
          <w:rFonts w:ascii="Times New Roman" w:hAnsi="Times New Roman" w:cs="Times New Roman"/>
          <w:sz w:val="24"/>
          <w:szCs w:val="24"/>
        </w:rPr>
        <w:t>the</w:t>
      </w:r>
      <w:r>
        <w:rPr>
          <w:rFonts w:ascii="Times New Roman" w:hAnsi="Times New Roman" w:cs="Times New Roman"/>
          <w:sz w:val="24"/>
          <w:szCs w:val="24"/>
        </w:rPr>
        <w:t xml:space="preserve"> </w:t>
      </w:r>
      <w:r w:rsidR="00BE3E25">
        <w:rPr>
          <w:rFonts w:ascii="Times New Roman" w:hAnsi="Times New Roman" w:cs="Times New Roman"/>
          <w:sz w:val="24"/>
          <w:szCs w:val="24"/>
        </w:rPr>
        <w:t xml:space="preserve">more claims </w:t>
      </w:r>
      <w:r>
        <w:rPr>
          <w:rFonts w:ascii="Times New Roman" w:hAnsi="Times New Roman" w:cs="Times New Roman"/>
          <w:sz w:val="24"/>
          <w:szCs w:val="24"/>
        </w:rPr>
        <w:t xml:space="preserve">a patent contains </w:t>
      </w:r>
      <w:r w:rsidR="00BE3E25">
        <w:rPr>
          <w:rFonts w:ascii="Times New Roman" w:hAnsi="Times New Roman" w:cs="Times New Roman"/>
          <w:sz w:val="24"/>
          <w:szCs w:val="24"/>
        </w:rPr>
        <w:t>create</w:t>
      </w:r>
      <w:r>
        <w:rPr>
          <w:rFonts w:ascii="Times New Roman" w:hAnsi="Times New Roman" w:cs="Times New Roman"/>
          <w:sz w:val="24"/>
          <w:szCs w:val="24"/>
        </w:rPr>
        <w:t>s</w:t>
      </w:r>
      <w:r w:rsidR="00BE3E25">
        <w:rPr>
          <w:rFonts w:ascii="Times New Roman" w:hAnsi="Times New Roman" w:cs="Times New Roman"/>
          <w:sz w:val="24"/>
          <w:szCs w:val="24"/>
        </w:rPr>
        <w:t xml:space="preserve"> significantly more opportunities for that patent to be cited </w:t>
      </w:r>
      <w:r>
        <w:rPr>
          <w:rFonts w:ascii="Times New Roman" w:hAnsi="Times New Roman" w:cs="Times New Roman"/>
          <w:sz w:val="24"/>
          <w:szCs w:val="24"/>
        </w:rPr>
        <w:t xml:space="preserve">by other patents.  </w:t>
      </w:r>
      <w:r w:rsidR="00BE3E25">
        <w:rPr>
          <w:rFonts w:ascii="Times New Roman" w:hAnsi="Times New Roman" w:cs="Times New Roman"/>
          <w:sz w:val="24"/>
          <w:szCs w:val="24"/>
        </w:rPr>
        <w:t>I</w:t>
      </w:r>
      <w:r>
        <w:rPr>
          <w:rFonts w:ascii="Times New Roman" w:hAnsi="Times New Roman" w:cs="Times New Roman"/>
          <w:sz w:val="24"/>
          <w:szCs w:val="24"/>
        </w:rPr>
        <w:t xml:space="preserve">t is also theorized </w:t>
      </w:r>
      <w:r w:rsidR="00BE3E25">
        <w:rPr>
          <w:rFonts w:ascii="Times New Roman" w:hAnsi="Times New Roman" w:cs="Times New Roman"/>
          <w:sz w:val="24"/>
          <w:szCs w:val="24"/>
        </w:rPr>
        <w:t>that the more general a p</w:t>
      </w:r>
      <w:r>
        <w:rPr>
          <w:rFonts w:ascii="Times New Roman" w:hAnsi="Times New Roman" w:cs="Times New Roman"/>
          <w:sz w:val="24"/>
          <w:szCs w:val="24"/>
        </w:rPr>
        <w:t>atent, 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864D1B">
        <w:rPr>
          <w:rFonts w:ascii="Times New Roman" w:hAnsi="Times New Roman" w:cs="Times New Roman"/>
          <w:sz w:val="24"/>
          <w:szCs w:val="24"/>
        </w:rPr>
        <w:t xml:space="preserve">originality of the patent and the </w:t>
      </w:r>
      <w:r w:rsidR="00BE3E25">
        <w:rPr>
          <w:rFonts w:ascii="Times New Roman" w:hAnsi="Times New Roman" w:cs="Times New Roman"/>
          <w:sz w:val="24"/>
          <w:szCs w:val="24"/>
        </w:rPr>
        <w:t xml:space="preserve">year a patent was granted </w:t>
      </w:r>
      <w:r w:rsidR="00554A5F">
        <w:rPr>
          <w:rFonts w:ascii="Times New Roman" w:hAnsi="Times New Roman" w:cs="Times New Roman"/>
          <w:sz w:val="24"/>
          <w:szCs w:val="24"/>
        </w:rPr>
        <w:t xml:space="preserve">are expected </w:t>
      </w:r>
      <w:r w:rsidR="00BE3E25">
        <w:rPr>
          <w:rFonts w:ascii="Times New Roman" w:hAnsi="Times New Roman" w:cs="Times New Roman"/>
          <w:sz w:val="24"/>
          <w:szCs w:val="24"/>
        </w:rPr>
        <w:t>to be negatively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 xml:space="preserve">is cited by other patents and the number of citations received by the patent.  </w:t>
      </w:r>
      <w:r w:rsidR="00864D1B">
        <w:rPr>
          <w:rFonts w:ascii="Times New Roman" w:hAnsi="Times New Roman" w:cs="Times New Roman"/>
          <w:sz w:val="24"/>
          <w:szCs w:val="24"/>
        </w:rPr>
        <w:t>It</w:t>
      </w:r>
      <w:r w:rsidR="00864D1B">
        <w:rPr>
          <w:rFonts w:ascii="Times New Roman" w:hAnsi="Times New Roman" w:cs="Times New Roman"/>
          <w:sz w:val="24"/>
          <w:szCs w:val="24"/>
        </w:rPr>
        <w:t xml:space="preserve"> theorized that the more original a patent the more difficult it is for other inventors and innovators to conceive applications of the technology in their fields.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is </w:t>
      </w:r>
      <w:r w:rsidR="00864D1B">
        <w:rPr>
          <w:rFonts w:ascii="Times New Roman" w:hAnsi="Times New Roman" w:cs="Times New Roman"/>
          <w:sz w:val="24"/>
          <w:szCs w:val="24"/>
        </w:rPr>
        <w:t xml:space="preserve">also </w:t>
      </w:r>
      <w:r w:rsidR="00554A5F">
        <w:rPr>
          <w:rFonts w:ascii="Times New Roman" w:hAnsi="Times New Roman" w:cs="Times New Roman"/>
          <w:sz w:val="24"/>
          <w:szCs w:val="24"/>
        </w:rPr>
        <w:t>theorized that</w:t>
      </w:r>
      <w:r w:rsidR="00BE3E25">
        <w:rPr>
          <w:rFonts w:ascii="Times New Roman" w:hAnsi="Times New Roman" w:cs="Times New Roman"/>
          <w:sz w:val="24"/>
          <w:szCs w:val="24"/>
        </w:rPr>
        <w:t xml:space="preserve"> the older a patent is the less relevant it becomes because of the half-life of knowledge.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half-life of knowledge, which can be thought of as 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provided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at the time) obsolescence reduced the practical duration of this protection to no more than a few years.</w:t>
      </w:r>
      <w:r w:rsidR="00591D73">
        <w:rPr>
          <w:rFonts w:ascii="Times New Roman" w:hAnsi="Times New Roman" w:cs="Times New Roman"/>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Times New Roman" w:hAnsi="Times New Roman" w:cs="Times New Roman"/>
          <w:sz w:val="24"/>
          <w:szCs w:val="24"/>
        </w:rPr>
        <w:lastRenderedPageBreak/>
        <w:t xml:space="preserve">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GENERAL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11638"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 xml:space="preserve">For this study, I only used the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w:t>
      </w:r>
      <w:r w:rsidRPr="00DA48A2">
        <w:rPr>
          <w:rFonts w:ascii="Courier New" w:hAnsi="Courier New" w:cs="Courier New"/>
          <w:sz w:val="24"/>
          <w:szCs w:val="24"/>
        </w:rPr>
        <w:t>GENERAL</w:t>
      </w:r>
      <w:r w:rsidRPr="00DA48A2">
        <w:rPr>
          <w:rFonts w:ascii="Times New Roman" w:hAnsi="Times New Roman" w:cs="Times New Roman"/>
          <w:sz w:val="24"/>
          <w:szCs w:val="24"/>
        </w:rPr>
        <w:t xml:space="preserve">, and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variables in the analysis.  Based on the resu</w:t>
      </w:r>
      <w:r w:rsidR="00F95DD2">
        <w:rPr>
          <w:rFonts w:ascii="Times New Roman" w:hAnsi="Times New Roman" w:cs="Times New Roman"/>
          <w:sz w:val="24"/>
          <w:szCs w:val="24"/>
        </w:rPr>
        <w:t xml:space="preserve">lts of </w:t>
      </w:r>
      <w:r w:rsidRPr="00DA48A2">
        <w:rPr>
          <w:rFonts w:ascii="Times New Roman" w:hAnsi="Times New Roman" w:cs="Times New Roman"/>
          <w:sz w:val="24"/>
          <w:szCs w:val="24"/>
        </w:rPr>
        <w:t xml:space="preserve">previous analyses, I made several modifications to the data and incorporated several previous observations into the </w:t>
      </w:r>
      <w:r w:rsidR="00F95DD2">
        <w:rPr>
          <w:rFonts w:ascii="Times New Roman" w:hAnsi="Times New Roman" w:cs="Times New Roman"/>
          <w:sz w:val="24"/>
          <w:szCs w:val="24"/>
        </w:rPr>
        <w:t>logistic regression</w:t>
      </w:r>
      <w:r w:rsidRPr="00DA48A2">
        <w:rPr>
          <w:rFonts w:ascii="Times New Roman" w:hAnsi="Times New Roman" w:cs="Times New Roman"/>
          <w:sz w:val="24"/>
          <w:szCs w:val="24"/>
        </w:rPr>
        <w:t xml:space="preserve"> model.  </w:t>
      </w:r>
    </w:p>
    <w:p w:rsidR="00DA48A2" w:rsidRDefault="00DA48A2" w:rsidP="00611638">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I removed the following variables because of high multicollinearity: </w:t>
      </w:r>
      <w:r w:rsidRPr="00DA48A2">
        <w:rPr>
          <w:rFonts w:ascii="Courier New" w:hAnsi="Courier New" w:cs="Courier New"/>
          <w:sz w:val="24"/>
          <w:szCs w:val="24"/>
        </w:rPr>
        <w:t>APPYEAR</w:t>
      </w:r>
      <w:r w:rsidRPr="00DA48A2">
        <w:rPr>
          <w:rFonts w:ascii="Times New Roman" w:hAnsi="Times New Roman" w:cs="Times New Roman"/>
          <w:sz w:val="24"/>
          <w:szCs w:val="24"/>
        </w:rPr>
        <w:t>,</w:t>
      </w:r>
      <w:r w:rsidRPr="00DA48A2">
        <w:rPr>
          <w:rFonts w:ascii="Courier New" w:hAnsi="Courier New" w:cs="Courier New"/>
          <w:sz w:val="24"/>
          <w:szCs w:val="24"/>
        </w:rPr>
        <w:t xml:space="preserve"> BCKGTLAG</w:t>
      </w:r>
      <w:r w:rsidRPr="00DA48A2">
        <w:rPr>
          <w:rFonts w:ascii="Times New Roman" w:hAnsi="Times New Roman" w:cs="Times New Roman"/>
          <w:sz w:val="24"/>
          <w:szCs w:val="24"/>
        </w:rPr>
        <w:t xml:space="preserve">,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and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 </w:t>
      </w:r>
      <w:r w:rsidR="00661871">
        <w:rPr>
          <w:rFonts w:ascii="Times New Roman" w:hAnsi="Times New Roman" w:cs="Times New Roman"/>
          <w:sz w:val="24"/>
          <w:szCs w:val="24"/>
        </w:rPr>
        <w:t xml:space="preserve">created a new variable called </w:t>
      </w:r>
      <w:r w:rsidRPr="00DA48A2">
        <w:rPr>
          <w:rFonts w:ascii="Courier New" w:hAnsi="Courier New" w:cs="Courier New"/>
          <w:sz w:val="24"/>
          <w:szCs w:val="24"/>
        </w:rPr>
        <w:t>CREC</w:t>
      </w:r>
      <w:r w:rsidR="006D4A47">
        <w:rPr>
          <w:rFonts w:ascii="Courier New" w:hAnsi="Courier New" w:cs="Courier New"/>
          <w:sz w:val="24"/>
          <w:szCs w:val="24"/>
        </w:rPr>
        <w:t>BINARY</w:t>
      </w:r>
      <w:r w:rsidR="0028689B">
        <w:rPr>
          <w:rFonts w:ascii="Times New Roman" w:hAnsi="Times New Roman" w:cs="Times New Roman"/>
          <w:sz w:val="24"/>
          <w:szCs w:val="24"/>
        </w:rPr>
        <w:t xml:space="preserve">, which </w:t>
      </w:r>
      <w:r w:rsidR="0028689B" w:rsidRPr="00DA48A2">
        <w:rPr>
          <w:rFonts w:ascii="Times New Roman" w:hAnsi="Times New Roman" w:cs="Times New Roman"/>
          <w:sz w:val="24"/>
          <w:szCs w:val="24"/>
        </w:rPr>
        <w:t>I used as the dependent variable (DV) of interest in the analysis.</w:t>
      </w:r>
      <w:r w:rsidR="0028689B">
        <w:rPr>
          <w:rFonts w:ascii="Times New Roman" w:hAnsi="Times New Roman" w:cs="Times New Roman"/>
          <w:sz w:val="24"/>
          <w:szCs w:val="24"/>
        </w:rPr>
        <w:t xml:space="preserve">  I created the </w:t>
      </w:r>
      <w:r w:rsidR="0028689B" w:rsidRPr="0028689B">
        <w:rPr>
          <w:rFonts w:ascii="Courier New" w:hAnsi="Courier New" w:cs="Courier New"/>
          <w:sz w:val="24"/>
          <w:szCs w:val="24"/>
        </w:rPr>
        <w:t>CRECBINARY</w:t>
      </w:r>
      <w:r w:rsidR="0028689B">
        <w:rPr>
          <w:rFonts w:ascii="Times New Roman" w:hAnsi="Times New Roman" w:cs="Times New Roman"/>
          <w:sz w:val="24"/>
          <w:szCs w:val="24"/>
        </w:rPr>
        <w:t xml:space="preserve"> variable </w:t>
      </w:r>
      <w:r w:rsidRPr="00DA48A2">
        <w:rPr>
          <w:rFonts w:ascii="Times New Roman" w:hAnsi="Times New Roman" w:cs="Times New Roman"/>
          <w:sz w:val="24"/>
          <w:szCs w:val="24"/>
        </w:rPr>
        <w:t xml:space="preserve">using the </w:t>
      </w:r>
      <w:r w:rsidRPr="00DA48A2">
        <w:rPr>
          <w:rFonts w:ascii="Courier New" w:hAnsi="Courier New" w:cs="Courier New"/>
          <w:sz w:val="24"/>
          <w:szCs w:val="24"/>
        </w:rPr>
        <w:t xml:space="preserve">Transform &gt; </w:t>
      </w:r>
      <w:r w:rsidR="00465009">
        <w:rPr>
          <w:rFonts w:ascii="Courier New" w:hAnsi="Courier New" w:cs="Courier New"/>
          <w:sz w:val="24"/>
          <w:szCs w:val="24"/>
        </w:rPr>
        <w:t>Recode into Different Variables</w:t>
      </w:r>
      <w:r w:rsidRPr="00DA48A2">
        <w:rPr>
          <w:rFonts w:ascii="Times New Roman" w:hAnsi="Times New Roman" w:cs="Times New Roman"/>
          <w:sz w:val="24"/>
          <w:szCs w:val="24"/>
        </w:rPr>
        <w:t xml:space="preserve"> function of </w:t>
      </w:r>
      <w:r w:rsidR="00B108C4">
        <w:rPr>
          <w:rFonts w:ascii="Courier New" w:hAnsi="Courier New" w:cs="Courier New"/>
          <w:sz w:val="24"/>
          <w:szCs w:val="24"/>
        </w:rPr>
        <w:t>IBM S</w:t>
      </w:r>
      <w:r w:rsidRPr="00DA48A2">
        <w:rPr>
          <w:rFonts w:ascii="Courier New" w:hAnsi="Courier New" w:cs="Courier New"/>
          <w:sz w:val="24"/>
          <w:szCs w:val="24"/>
        </w:rPr>
        <w:t>PSS Statistics 25</w:t>
      </w:r>
      <w:r w:rsidRPr="00DA48A2">
        <w:rPr>
          <w:rFonts w:ascii="Times New Roman" w:hAnsi="Times New Roman" w:cs="Times New Roman"/>
          <w:sz w:val="24"/>
          <w:szCs w:val="24"/>
        </w:rPr>
        <w:t xml:space="preserve">.  The </w:t>
      </w:r>
      <w:r w:rsidRPr="00DA48A2">
        <w:rPr>
          <w:rFonts w:ascii="Courier New" w:hAnsi="Courier New" w:cs="Courier New"/>
          <w:sz w:val="24"/>
          <w:szCs w:val="24"/>
        </w:rPr>
        <w:t>CREC</w:t>
      </w:r>
      <w:r w:rsidR="00465009">
        <w:rPr>
          <w:rFonts w:ascii="Courier New" w:hAnsi="Courier New" w:cs="Courier New"/>
          <w:sz w:val="24"/>
          <w:szCs w:val="24"/>
        </w:rPr>
        <w:t>BINARY</w:t>
      </w:r>
      <w:r w:rsidRPr="00DA48A2">
        <w:rPr>
          <w:rFonts w:ascii="Times New Roman" w:hAnsi="Times New Roman" w:cs="Times New Roman"/>
          <w:sz w:val="24"/>
          <w:szCs w:val="24"/>
        </w:rPr>
        <w:t xml:space="preserve"> variable is </w:t>
      </w:r>
      <w:r w:rsidR="00465009">
        <w:rPr>
          <w:rFonts w:ascii="Times New Roman" w:hAnsi="Times New Roman" w:cs="Times New Roman"/>
          <w:sz w:val="24"/>
          <w:szCs w:val="24"/>
        </w:rPr>
        <w:t xml:space="preserve">a dichotomous variable calculated from </w:t>
      </w:r>
      <w:r w:rsidRPr="00DA48A2">
        <w:rPr>
          <w:rFonts w:ascii="Times New Roman" w:hAnsi="Times New Roman" w:cs="Times New Roman"/>
          <w:sz w:val="24"/>
          <w:szCs w:val="24"/>
        </w:rPr>
        <w:t xml:space="preserve">the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The median of the </w:t>
      </w:r>
      <w:r w:rsidR="00465009" w:rsidRPr="00465009">
        <w:rPr>
          <w:rFonts w:ascii="Courier New" w:hAnsi="Courier New" w:cs="Courier New"/>
          <w:sz w:val="24"/>
          <w:szCs w:val="24"/>
        </w:rPr>
        <w:t>CRECEIVE</w:t>
      </w:r>
      <w:r w:rsidR="00465009">
        <w:rPr>
          <w:rFonts w:ascii="Times New Roman" w:hAnsi="Times New Roman" w:cs="Times New Roman"/>
          <w:sz w:val="24"/>
          <w:szCs w:val="24"/>
        </w:rPr>
        <w:t xml:space="preserve"> data was 2 citations received</w:t>
      </w:r>
      <w:r w:rsidR="00593778">
        <w:rPr>
          <w:rFonts w:ascii="Times New Roman" w:hAnsi="Times New Roman" w:cs="Times New Roman"/>
          <w:sz w:val="24"/>
          <w:szCs w:val="24"/>
        </w:rPr>
        <w:t>.  I coded cases</w:t>
      </w:r>
      <w:r w:rsidR="00095EE1">
        <w:rPr>
          <w:rFonts w:ascii="Times New Roman" w:hAnsi="Times New Roman" w:cs="Times New Roman"/>
          <w:sz w:val="24"/>
          <w:szCs w:val="24"/>
        </w:rPr>
        <w:t xml:space="preserve"> </w:t>
      </w:r>
      <w:r w:rsidR="0028689B">
        <w:rPr>
          <w:rFonts w:ascii="Times New Roman" w:hAnsi="Times New Roman" w:cs="Times New Roman"/>
          <w:sz w:val="24"/>
          <w:szCs w:val="24"/>
        </w:rPr>
        <w:t>that had 2 or fewer citations received</w:t>
      </w:r>
      <w:r w:rsidR="00095EE1">
        <w:rPr>
          <w:rFonts w:ascii="Times New Roman" w:hAnsi="Times New Roman" w:cs="Times New Roman"/>
          <w:sz w:val="24"/>
          <w:szCs w:val="24"/>
        </w:rPr>
        <w:t xml:space="preserve"> as 1.  I coded </w:t>
      </w:r>
      <w:r w:rsidR="00465009">
        <w:rPr>
          <w:rFonts w:ascii="Times New Roman" w:hAnsi="Times New Roman" w:cs="Times New Roman"/>
          <w:sz w:val="24"/>
          <w:szCs w:val="24"/>
        </w:rPr>
        <w:t xml:space="preserve">cases with 3 or more citations received as 2.  </w:t>
      </w:r>
      <w:r w:rsidR="00095EE1">
        <w:rPr>
          <w:rFonts w:ascii="Times New Roman" w:hAnsi="Times New Roman" w:cs="Times New Roman"/>
          <w:sz w:val="24"/>
          <w:szCs w:val="24"/>
        </w:rPr>
        <w:t xml:space="preserve">For the analysis, </w:t>
      </w:r>
      <w:r w:rsidR="00095EE1" w:rsidRPr="005B4CB5">
        <w:rPr>
          <w:rFonts w:ascii="Courier New" w:hAnsi="Courier New" w:cs="Courier New"/>
          <w:sz w:val="24"/>
          <w:szCs w:val="24"/>
        </w:rPr>
        <w:t>SPSS Statistics 25</w:t>
      </w:r>
      <w:r w:rsidR="00095EE1">
        <w:rPr>
          <w:rFonts w:ascii="Courier New" w:hAnsi="Courier New" w:cs="Courier New"/>
          <w:sz w:val="24"/>
          <w:szCs w:val="24"/>
        </w:rPr>
        <w:t xml:space="preserve"> </w:t>
      </w:r>
      <w:r w:rsidR="00095EE1">
        <w:rPr>
          <w:rFonts w:ascii="Times New Roman" w:hAnsi="Times New Roman" w:cs="Times New Roman"/>
          <w:sz w:val="24"/>
          <w:szCs w:val="24"/>
        </w:rPr>
        <w:t xml:space="preserve">internally coded </w:t>
      </w:r>
      <w:r w:rsidR="00095EE1" w:rsidRPr="00095EE1">
        <w:rPr>
          <w:rFonts w:ascii="Courier New" w:hAnsi="Courier New" w:cs="Courier New"/>
          <w:sz w:val="24"/>
          <w:szCs w:val="24"/>
        </w:rPr>
        <w:t>CRECBINARY</w:t>
      </w:r>
      <w:r w:rsidR="00095EE1">
        <w:rPr>
          <w:rFonts w:ascii="Times New Roman" w:hAnsi="Times New Roman" w:cs="Times New Roman"/>
          <w:sz w:val="24"/>
          <w:szCs w:val="24"/>
        </w:rPr>
        <w:t xml:space="preserve"> as 0 for case</w:t>
      </w:r>
      <w:r w:rsidR="0028689B">
        <w:rPr>
          <w:rFonts w:ascii="Times New Roman" w:hAnsi="Times New Roman" w:cs="Times New Roman"/>
          <w:sz w:val="24"/>
          <w:szCs w:val="24"/>
        </w:rPr>
        <w:t>s where the number of citations received was l</w:t>
      </w:r>
      <w:r w:rsidR="00095EE1">
        <w:rPr>
          <w:rFonts w:ascii="Times New Roman" w:hAnsi="Times New Roman" w:cs="Times New Roman"/>
          <w:sz w:val="24"/>
          <w:szCs w:val="24"/>
        </w:rPr>
        <w:t xml:space="preserve">ess than or equal to 2 and </w:t>
      </w:r>
      <w:r w:rsidR="0028689B">
        <w:rPr>
          <w:rFonts w:ascii="Times New Roman" w:hAnsi="Times New Roman" w:cs="Times New Roman"/>
          <w:sz w:val="24"/>
          <w:szCs w:val="24"/>
        </w:rPr>
        <w:t xml:space="preserve">as </w:t>
      </w:r>
      <w:r w:rsidR="00095EE1">
        <w:rPr>
          <w:rFonts w:ascii="Times New Roman" w:hAnsi="Times New Roman" w:cs="Times New Roman"/>
          <w:sz w:val="24"/>
          <w:szCs w:val="24"/>
        </w:rPr>
        <w:t xml:space="preserve">1 for cases with 3 or more citations received.  </w:t>
      </w:r>
      <w:r w:rsidR="000E4997">
        <w:rPr>
          <w:rFonts w:ascii="Times New Roman" w:hAnsi="Times New Roman" w:cs="Times New Roman"/>
          <w:sz w:val="24"/>
          <w:szCs w:val="24"/>
        </w:rPr>
        <w:t xml:space="preserve">  Table 3 lists the final variables that I used in the analysis.</w:t>
      </w:r>
      <w:r w:rsidR="00D34CAA">
        <w:rPr>
          <w:rFonts w:ascii="Times New Roman" w:hAnsi="Times New Roman" w:cs="Times New Roman"/>
          <w:sz w:val="24"/>
          <w:szCs w:val="24"/>
        </w:rPr>
        <w:t xml:space="preserve">  All of the IVs used in the analysis were</w:t>
      </w:r>
      <w:r w:rsidR="00834CA6">
        <w:rPr>
          <w:rFonts w:ascii="Times New Roman" w:hAnsi="Times New Roman" w:cs="Times New Roman"/>
          <w:sz w:val="24"/>
          <w:szCs w:val="24"/>
        </w:rPr>
        <w:t xml:space="preserve"> continuous</w:t>
      </w:r>
      <w:r w:rsidR="00D34CAA">
        <w:rPr>
          <w:rFonts w:ascii="Times New Roman" w:hAnsi="Times New Roman" w:cs="Times New Roman"/>
          <w:sz w:val="24"/>
          <w:szCs w:val="24"/>
        </w:rPr>
        <w:t xml:space="preserve"> interval</w:t>
      </w:r>
      <w:r w:rsidR="001D6329">
        <w:rPr>
          <w:rFonts w:ascii="Times New Roman" w:hAnsi="Times New Roman" w:cs="Times New Roman"/>
          <w:sz w:val="24"/>
          <w:szCs w:val="24"/>
        </w:rPr>
        <w:t xml:space="preserve"> or ratio</w:t>
      </w:r>
      <w:r w:rsidR="00D34CAA">
        <w:rPr>
          <w:rFonts w:ascii="Times New Roman" w:hAnsi="Times New Roman" w:cs="Times New Roman"/>
          <w:sz w:val="24"/>
          <w:szCs w:val="24"/>
        </w:rPr>
        <w:t xml:space="preserve"> variables.</w:t>
      </w:r>
    </w:p>
    <w:p w:rsidR="00250EC3" w:rsidRPr="0003023E" w:rsidRDefault="00250EC3" w:rsidP="006D4A47">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Results</w:t>
      </w:r>
      <w:r w:rsidR="009F3399" w:rsidRPr="009F3399">
        <w:rPr>
          <w:rFonts w:ascii="Times New Roman" w:hAnsi="Times New Roman" w:cs="Times New Roman"/>
          <w:b/>
          <w:sz w:val="24"/>
          <w:szCs w:val="24"/>
        </w:rPr>
        <w:t xml:space="preserve"> </w:t>
      </w:r>
      <w:r w:rsidR="009F3399">
        <w:rPr>
          <w:rFonts w:ascii="Times New Roman" w:hAnsi="Times New Roman" w:cs="Times New Roman"/>
          <w:b/>
          <w:sz w:val="24"/>
          <w:szCs w:val="24"/>
        </w:rPr>
        <w:t xml:space="preserve">and </w:t>
      </w:r>
      <w:r w:rsidR="009F3399">
        <w:rPr>
          <w:rFonts w:ascii="Times New Roman" w:hAnsi="Times New Roman" w:cs="Times New Roman"/>
          <w:b/>
          <w:sz w:val="24"/>
          <w:szCs w:val="24"/>
        </w:rPr>
        <w:t>Analysis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3DE9">
        <w:rPr>
          <w:rFonts w:ascii="Times New Roman" w:hAnsi="Times New Roman" w:cs="Times New Roman"/>
          <w:sz w:val="24"/>
          <w:szCs w:val="24"/>
        </w:rPr>
        <w:t xml:space="preserve">I used </w:t>
      </w:r>
      <w:r w:rsidR="00EB3DE9" w:rsidRPr="006622AE">
        <w:rPr>
          <w:rFonts w:ascii="Courier New" w:hAnsi="Courier New" w:cs="Courier New"/>
          <w:sz w:val="24"/>
          <w:szCs w:val="24"/>
        </w:rPr>
        <w:t>IBM SPSS Statistics 25</w:t>
      </w:r>
      <w:r w:rsidR="00EB3DE9">
        <w:rPr>
          <w:rFonts w:ascii="Courier New" w:hAnsi="Courier New" w:cs="Courier New"/>
          <w:sz w:val="24"/>
          <w:szCs w:val="24"/>
        </w:rPr>
        <w:t xml:space="preserve"> </w:t>
      </w:r>
      <w:r w:rsidR="00EB3DE9">
        <w:rPr>
          <w:rFonts w:ascii="Times New Roman" w:hAnsi="Times New Roman" w:cs="Times New Roman"/>
          <w:sz w:val="24"/>
          <w:szCs w:val="24"/>
        </w:rPr>
        <w:t xml:space="preserve">to analyze the </w:t>
      </w:r>
      <w:r w:rsidR="00B53472">
        <w:rPr>
          <w:rFonts w:ascii="Times New Roman" w:hAnsi="Times New Roman" w:cs="Times New Roman"/>
          <w:sz w:val="24"/>
          <w:szCs w:val="24"/>
        </w:rPr>
        <w:t>data</w:t>
      </w:r>
      <w:r w:rsidR="00EB3DE9">
        <w:rPr>
          <w:rFonts w:ascii="Times New Roman" w:hAnsi="Times New Roman" w:cs="Times New Roman"/>
          <w:sz w:val="24"/>
          <w:szCs w:val="24"/>
        </w:rPr>
        <w:t xml:space="preserve">.  </w:t>
      </w:r>
      <w:r w:rsidR="00C853DF">
        <w:rPr>
          <w:rFonts w:ascii="Times New Roman" w:hAnsi="Times New Roman" w:cs="Times New Roman"/>
          <w:sz w:val="24"/>
          <w:szCs w:val="24"/>
        </w:rPr>
        <w:t xml:space="preserve">I used the </w:t>
      </w:r>
      <w:r w:rsidR="00C853DF" w:rsidRPr="006622AE">
        <w:rPr>
          <w:rFonts w:ascii="Courier New" w:hAnsi="Courier New" w:cs="Courier New"/>
          <w:sz w:val="24"/>
          <w:szCs w:val="24"/>
        </w:rPr>
        <w:t xml:space="preserve">Analyze &gt; Regression &gt; </w:t>
      </w:r>
      <w:r w:rsidR="00C853DF">
        <w:rPr>
          <w:rFonts w:ascii="Courier New" w:hAnsi="Courier New" w:cs="Courier New"/>
          <w:sz w:val="24"/>
          <w:szCs w:val="24"/>
        </w:rPr>
        <w:t>Binary Logistic</w:t>
      </w:r>
      <w:r w:rsidR="00C853DF" w:rsidRPr="006622AE">
        <w:rPr>
          <w:rFonts w:ascii="Courier New" w:hAnsi="Courier New" w:cs="Courier New"/>
          <w:sz w:val="24"/>
          <w:szCs w:val="24"/>
        </w:rPr>
        <w:t xml:space="preserve"> </w:t>
      </w:r>
      <w:r w:rsidR="00C853DF">
        <w:rPr>
          <w:rFonts w:ascii="Times New Roman" w:hAnsi="Times New Roman" w:cs="Times New Roman"/>
          <w:sz w:val="24"/>
          <w:szCs w:val="24"/>
        </w:rPr>
        <w:t>function to perform a bi</w:t>
      </w:r>
      <w:r w:rsidR="00B53472">
        <w:rPr>
          <w:rFonts w:ascii="Times New Roman" w:hAnsi="Times New Roman" w:cs="Times New Roman"/>
          <w:sz w:val="24"/>
          <w:szCs w:val="24"/>
        </w:rPr>
        <w:t>nary logistic regression analysi</w:t>
      </w:r>
      <w:r w:rsidR="00C853DF">
        <w:rPr>
          <w:rFonts w:ascii="Times New Roman" w:hAnsi="Times New Roman" w:cs="Times New Roman"/>
          <w:sz w:val="24"/>
          <w:szCs w:val="24"/>
        </w:rPr>
        <w:t xml:space="preserve">s using </w:t>
      </w:r>
      <w:r w:rsidR="00C853DF" w:rsidRPr="00C853DF">
        <w:rPr>
          <w:rFonts w:ascii="Courier New" w:hAnsi="Courier New" w:cs="Courier New"/>
          <w:sz w:val="24"/>
          <w:szCs w:val="24"/>
        </w:rPr>
        <w:t>CRECBINARY</w:t>
      </w:r>
      <w:r w:rsidR="00B53472">
        <w:rPr>
          <w:rFonts w:ascii="Times New Roman" w:hAnsi="Times New Roman" w:cs="Times New Roman"/>
          <w:sz w:val="24"/>
          <w:szCs w:val="24"/>
        </w:rPr>
        <w:t xml:space="preserve"> as</w:t>
      </w:r>
      <w:r w:rsidR="00C853DF">
        <w:rPr>
          <w:rFonts w:ascii="Times New Roman" w:hAnsi="Times New Roman" w:cs="Times New Roman"/>
          <w:sz w:val="24"/>
          <w:szCs w:val="24"/>
        </w:rPr>
        <w:t xml:space="preserve"> the DV and </w:t>
      </w:r>
      <w:r w:rsidR="00C853DF" w:rsidRPr="00C853DF">
        <w:rPr>
          <w:rFonts w:ascii="Courier New" w:hAnsi="Courier New" w:cs="Courier New"/>
          <w:sz w:val="24"/>
          <w:szCs w:val="24"/>
        </w:rPr>
        <w:t>CLAIMS</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GYEAR</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GENERAL</w:t>
      </w:r>
      <w:r w:rsidR="00C853DF">
        <w:rPr>
          <w:rFonts w:ascii="Times New Roman" w:hAnsi="Times New Roman" w:cs="Times New Roman"/>
          <w:sz w:val="24"/>
          <w:szCs w:val="24"/>
        </w:rPr>
        <w:t xml:space="preserve">, and </w:t>
      </w:r>
      <w:r w:rsidR="00C853DF" w:rsidRPr="00C853DF">
        <w:rPr>
          <w:rFonts w:ascii="Courier New" w:hAnsi="Courier New" w:cs="Courier New"/>
          <w:sz w:val="24"/>
          <w:szCs w:val="24"/>
        </w:rPr>
        <w:t>ORIGINAL</w:t>
      </w:r>
      <w:r w:rsidR="00C853DF">
        <w:rPr>
          <w:rFonts w:ascii="Times New Roman" w:hAnsi="Times New Roman" w:cs="Times New Roman"/>
          <w:sz w:val="24"/>
          <w:szCs w:val="24"/>
        </w:rPr>
        <w:t xml:space="preserve"> as the independent variables (IVs).  </w:t>
      </w:r>
      <w:r w:rsidR="00F8421B">
        <w:rPr>
          <w:rFonts w:ascii="Times New Roman" w:hAnsi="Times New Roman" w:cs="Times New Roman"/>
          <w:sz w:val="24"/>
          <w:szCs w:val="24"/>
        </w:rPr>
        <w:t xml:space="preserve">I used the Enter method for the regression.  </w:t>
      </w:r>
      <w:r w:rsidR="00043C5B">
        <w:rPr>
          <w:rFonts w:ascii="Times New Roman" w:hAnsi="Times New Roman" w:cs="Times New Roman"/>
          <w:sz w:val="24"/>
          <w:szCs w:val="24"/>
        </w:rPr>
        <w:t xml:space="preserve">For the </w:t>
      </w:r>
      <w:r w:rsidR="00043C5B" w:rsidRPr="00017234">
        <w:rPr>
          <w:rFonts w:ascii="Courier New" w:hAnsi="Courier New" w:cs="Courier New"/>
          <w:sz w:val="24"/>
          <w:szCs w:val="24"/>
        </w:rPr>
        <w:t xml:space="preserve">Logistic Regression </w:t>
      </w:r>
      <w:proofErr w:type="gramStart"/>
      <w:r w:rsidR="00043C5B" w:rsidRPr="00017234">
        <w:rPr>
          <w:rFonts w:ascii="Courier New" w:hAnsi="Courier New" w:cs="Courier New"/>
          <w:sz w:val="24"/>
          <w:szCs w:val="24"/>
        </w:rPr>
        <w:t>Options</w:t>
      </w:r>
      <w:proofErr w:type="gramEnd"/>
      <w:r w:rsidR="00043C5B">
        <w:rPr>
          <w:rFonts w:ascii="Times New Roman" w:hAnsi="Times New Roman" w:cs="Times New Roman"/>
          <w:sz w:val="24"/>
          <w:szCs w:val="24"/>
        </w:rPr>
        <w:t xml:space="preserve"> I selected Correlations of estimates, Hosmer-</w:t>
      </w:r>
      <w:proofErr w:type="spellStart"/>
      <w:r w:rsidR="00043C5B">
        <w:rPr>
          <w:rFonts w:ascii="Times New Roman" w:hAnsi="Times New Roman" w:cs="Times New Roman"/>
          <w:sz w:val="24"/>
          <w:szCs w:val="24"/>
        </w:rPr>
        <w:t>Lemeshow</w:t>
      </w:r>
      <w:proofErr w:type="spellEnd"/>
      <w:r w:rsidR="00043C5B">
        <w:rPr>
          <w:rFonts w:ascii="Times New Roman" w:hAnsi="Times New Roman" w:cs="Times New Roman"/>
          <w:sz w:val="24"/>
          <w:szCs w:val="24"/>
        </w:rPr>
        <w:t xml:space="preserve"> goodness-of-fit, Iteration history, and Confidence interval for </w:t>
      </w:r>
      <w:proofErr w:type="spellStart"/>
      <w:r w:rsidR="00043C5B">
        <w:rPr>
          <w:rFonts w:ascii="Times New Roman" w:hAnsi="Times New Roman" w:cs="Times New Roman"/>
          <w:sz w:val="24"/>
          <w:szCs w:val="24"/>
        </w:rPr>
        <w:t>exp</w:t>
      </w:r>
      <w:proofErr w:type="spellEnd"/>
      <w:r w:rsidR="00043C5B">
        <w:rPr>
          <w:rFonts w:ascii="Times New Roman" w:hAnsi="Times New Roman" w:cs="Times New Roman"/>
          <w:sz w:val="24"/>
          <w:szCs w:val="24"/>
        </w:rPr>
        <w:t xml:space="preserve">(B) of 95 percent.  I left the Classification </w:t>
      </w:r>
      <w:r w:rsidR="00043C5B">
        <w:rPr>
          <w:rFonts w:ascii="Times New Roman" w:hAnsi="Times New Roman" w:cs="Times New Roman"/>
          <w:sz w:val="24"/>
          <w:szCs w:val="24"/>
        </w:rPr>
        <w:lastRenderedPageBreak/>
        <w:t xml:space="preserve">cutoff at the 0.5 default, set the maximum iterations to 30, and included the constant in the model.   </w:t>
      </w:r>
      <w:r w:rsidR="00C30FC4">
        <w:rPr>
          <w:rFonts w:ascii="Times New Roman" w:hAnsi="Times New Roman" w:cs="Times New Roman"/>
          <w:sz w:val="24"/>
          <w:szCs w:val="24"/>
        </w:rPr>
        <w:t>The</w:t>
      </w:r>
      <w:r w:rsidR="00043C5B">
        <w:rPr>
          <w:rFonts w:ascii="Times New Roman" w:hAnsi="Times New Roman" w:cs="Times New Roman"/>
          <w:sz w:val="24"/>
          <w:szCs w:val="24"/>
        </w:rPr>
        <w:t xml:space="preserve"> </w:t>
      </w:r>
      <w:r w:rsidR="00C30FC4">
        <w:rPr>
          <w:rFonts w:ascii="Times New Roman" w:hAnsi="Times New Roman" w:cs="Times New Roman"/>
          <w:sz w:val="24"/>
          <w:szCs w:val="24"/>
        </w:rPr>
        <w:t>complete</w:t>
      </w:r>
      <w:r w:rsidR="00C30FC4">
        <w:rPr>
          <w:rFonts w:ascii="Courier New" w:hAnsi="Courier New" w:cs="Courier New"/>
          <w:sz w:val="24"/>
          <w:szCs w:val="24"/>
        </w:rPr>
        <w:t xml:space="preserve"> </w:t>
      </w:r>
      <w:r w:rsidR="00791766">
        <w:rPr>
          <w:rFonts w:ascii="Courier New" w:hAnsi="Courier New" w:cs="Courier New"/>
          <w:sz w:val="24"/>
          <w:szCs w:val="24"/>
        </w:rPr>
        <w:t xml:space="preserve">IBM </w:t>
      </w:r>
      <w:r w:rsidR="00C30FC4" w:rsidRPr="005B4CB5">
        <w:rPr>
          <w:rFonts w:ascii="Courier New" w:hAnsi="Courier New" w:cs="Courier New"/>
          <w:sz w:val="24"/>
          <w:szCs w:val="24"/>
        </w:rPr>
        <w:t>SPSS Statistics 25</w:t>
      </w:r>
      <w:r w:rsidR="00C30FC4">
        <w:rPr>
          <w:rFonts w:ascii="Times New Roman" w:hAnsi="Times New Roman" w:cs="Times New Roman"/>
          <w:sz w:val="24"/>
          <w:szCs w:val="24"/>
        </w:rPr>
        <w:t xml:space="preserve"> output file for the analysis is shown in Appendix A.</w:t>
      </w:r>
    </w:p>
    <w:p w:rsidR="005C3A1F" w:rsidRDefault="009A038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Table 1 shows details for the equation variables of the regression analysis.</w:t>
      </w:r>
      <w:r w:rsidR="00287689">
        <w:rPr>
          <w:rFonts w:ascii="Times New Roman" w:hAnsi="Times New Roman" w:cs="Times New Roman"/>
          <w:sz w:val="24"/>
          <w:szCs w:val="24"/>
        </w:rPr>
        <w:t xml:space="preserve">  All </w:t>
      </w:r>
      <w:r>
        <w:rPr>
          <w:rFonts w:ascii="Times New Roman" w:hAnsi="Times New Roman" w:cs="Times New Roman"/>
          <w:sz w:val="24"/>
          <w:szCs w:val="24"/>
        </w:rPr>
        <w:t xml:space="preserve">IVs were significant at the 0.05 level.  </w:t>
      </w:r>
      <w:r w:rsidR="009D2A67">
        <w:rPr>
          <w:rFonts w:ascii="Times New Roman" w:hAnsi="Times New Roman" w:cs="Times New Roman"/>
          <w:sz w:val="24"/>
          <w:szCs w:val="24"/>
        </w:rPr>
        <w:t xml:space="preserve">The </w:t>
      </w:r>
      <w:r w:rsidRPr="00287689">
        <w:rPr>
          <w:rFonts w:ascii="Courier New" w:hAnsi="Courier New" w:cs="Courier New"/>
          <w:sz w:val="24"/>
          <w:szCs w:val="24"/>
        </w:rPr>
        <w:t>CLAIMS</w:t>
      </w:r>
      <w:r>
        <w:rPr>
          <w:rFonts w:ascii="Times New Roman" w:hAnsi="Times New Roman" w:cs="Times New Roman"/>
          <w:sz w:val="24"/>
          <w:szCs w:val="24"/>
        </w:rPr>
        <w:t xml:space="preserv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GENERAL</w:t>
      </w:r>
      <w:r w:rsidR="00EE4231">
        <w:rPr>
          <w:rFonts w:ascii="Times New Roman" w:hAnsi="Times New Roman" w:cs="Times New Roman"/>
          <w:sz w:val="24"/>
          <w:szCs w:val="24"/>
        </w:rPr>
        <w:t xml:space="preserve"> </w:t>
      </w:r>
      <w:r w:rsidR="009D2A67">
        <w:rPr>
          <w:rFonts w:ascii="Times New Roman" w:hAnsi="Times New Roman" w:cs="Times New Roman"/>
          <w:sz w:val="24"/>
          <w:szCs w:val="24"/>
        </w:rPr>
        <w:t xml:space="preserve">variables </w:t>
      </w:r>
      <w:r w:rsidR="00EE4231">
        <w:rPr>
          <w:rFonts w:ascii="Times New Roman" w:hAnsi="Times New Roman" w:cs="Times New Roman"/>
          <w:sz w:val="24"/>
          <w:szCs w:val="24"/>
        </w:rPr>
        <w:t>were significant at the 0.001</w:t>
      </w:r>
      <w:r>
        <w:rPr>
          <w:rFonts w:ascii="Times New Roman" w:hAnsi="Times New Roman" w:cs="Times New Roman"/>
          <w:sz w:val="24"/>
          <w:szCs w:val="24"/>
        </w:rPr>
        <w:t xml:space="preserve"> level.</w:t>
      </w:r>
      <w:r w:rsidR="009D2A67">
        <w:rPr>
          <w:rFonts w:ascii="Times New Roman" w:hAnsi="Times New Roman" w:cs="Times New Roman"/>
          <w:sz w:val="24"/>
          <w:szCs w:val="24"/>
        </w:rPr>
        <w:t xml:space="preserve"> </w:t>
      </w:r>
    </w:p>
    <w:p w:rsidR="009D2A67" w:rsidRDefault="009D2A67" w:rsidP="009D2A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ORIGINAL</w:t>
      </w:r>
      <w:r>
        <w:rPr>
          <w:rFonts w:ascii="Times New Roman" w:hAnsi="Times New Roman" w:cs="Times New Roman"/>
          <w:sz w:val="24"/>
          <w:szCs w:val="24"/>
        </w:rPr>
        <w:t xml:space="preserve"> variables were negatively associated with the DV</w:t>
      </w:r>
      <w:r w:rsidR="00CA20D7">
        <w:rPr>
          <w:rFonts w:ascii="Times New Roman" w:hAnsi="Times New Roman" w:cs="Times New Roman"/>
          <w:sz w:val="24"/>
          <w:szCs w:val="24"/>
        </w:rPr>
        <w:t xml:space="preserve"> as expected</w:t>
      </w:r>
      <w:r>
        <w:rPr>
          <w:rFonts w:ascii="Times New Roman" w:hAnsi="Times New Roman" w:cs="Times New Roman"/>
          <w:sz w:val="24"/>
          <w:szCs w:val="24"/>
        </w:rPr>
        <w:t xml:space="preserve">.  Increases in these two variables were associated with a reduced probability that the patent received more than 2 citations from other patents.  The </w:t>
      </w:r>
      <w:r w:rsidRPr="00287689">
        <w:rPr>
          <w:rFonts w:ascii="Courier New" w:hAnsi="Courier New" w:cs="Courier New"/>
          <w:sz w:val="24"/>
          <w:szCs w:val="24"/>
        </w:rPr>
        <w:t>GENERAL</w:t>
      </w:r>
      <w:r>
        <w:rPr>
          <w:rFonts w:ascii="Times New Roman" w:hAnsi="Times New Roman" w:cs="Times New Roman"/>
          <w:sz w:val="24"/>
          <w:szCs w:val="24"/>
        </w:rPr>
        <w:t xml:space="preserve"> variable had the strongest ass</w:t>
      </w:r>
      <w:r w:rsidR="00CA20D7">
        <w:rPr>
          <w:rFonts w:ascii="Times New Roman" w:hAnsi="Times New Roman" w:cs="Times New Roman"/>
          <w:sz w:val="24"/>
          <w:szCs w:val="24"/>
        </w:rPr>
        <w:t>ociation with the DV.  For a</w:t>
      </w:r>
      <w:r>
        <w:rPr>
          <w:rFonts w:ascii="Times New Roman" w:hAnsi="Times New Roman" w:cs="Times New Roman"/>
          <w:sz w:val="24"/>
          <w:szCs w:val="24"/>
        </w:rPr>
        <w:t xml:space="preserve"> one unit increase in the </w:t>
      </w:r>
      <w:r w:rsidRPr="00287689">
        <w:rPr>
          <w:rFonts w:ascii="Courier New" w:hAnsi="Courier New" w:cs="Courier New"/>
          <w:sz w:val="24"/>
          <w:szCs w:val="24"/>
        </w:rPr>
        <w:t>GENERAL</w:t>
      </w:r>
      <w:r>
        <w:rPr>
          <w:rFonts w:ascii="Times New Roman" w:hAnsi="Times New Roman" w:cs="Times New Roman"/>
          <w:sz w:val="24"/>
          <w:szCs w:val="24"/>
        </w:rPr>
        <w:t xml:space="preserve"> variable, the patent was 113.6 times more likely to have been cited by 3 or more other patents.</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The binary logistic regression analysis generated the following equation</w:t>
      </w:r>
      <w:r w:rsidR="00D4639F">
        <w:rPr>
          <w:rFonts w:ascii="Times New Roman" w:hAnsi="Times New Roman" w:cs="Times New Roman"/>
          <w:sz w:val="24"/>
          <w:szCs w:val="24"/>
        </w:rPr>
        <w:t xml:space="preserve"> for the logit of the probability that a patent received more than 2 citations</w:t>
      </w:r>
      <w:r>
        <w:rPr>
          <w:rFonts w:ascii="Times New Roman" w:hAnsi="Times New Roman" w:cs="Times New Roman"/>
          <w:sz w:val="24"/>
          <w:szCs w:val="24"/>
        </w:rPr>
        <w:t>:</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Logit</w:t>
      </w:r>
      <w:r w:rsidR="00D4639F">
        <w:rPr>
          <w:rFonts w:ascii="Times New Roman" w:hAnsi="Times New Roman" w:cs="Times New Roman"/>
          <w:sz w:val="24"/>
          <w:szCs w:val="24"/>
        </w:rPr>
        <w:t xml:space="preserve"> </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w:t>
      </w:r>
      <w:r w:rsidRPr="00347B6E">
        <w:rPr>
          <w:rFonts w:ascii="Courier New" w:hAnsi="Courier New" w:cs="Courier New"/>
          <w:sz w:val="24"/>
          <w:szCs w:val="24"/>
        </w:rPr>
        <w:t>CRECBINARY</w:t>
      </w:r>
      <w:r>
        <w:rPr>
          <w:rFonts w:ascii="Times New Roman" w:hAnsi="Times New Roman" w:cs="Times New Roman"/>
          <w:sz w:val="24"/>
          <w:szCs w:val="24"/>
        </w:rPr>
        <w:t>=2)] = 1054.771 + 0.015(</w:t>
      </w:r>
      <w:r w:rsidRPr="00C84A5B">
        <w:rPr>
          <w:rFonts w:ascii="Courier New" w:hAnsi="Courier New" w:cs="Courier New"/>
          <w:sz w:val="24"/>
          <w:szCs w:val="24"/>
        </w:rPr>
        <w:t>CLAIMS</w:t>
      </w:r>
      <w:r>
        <w:rPr>
          <w:rFonts w:ascii="Times New Roman" w:hAnsi="Times New Roman" w:cs="Times New Roman"/>
          <w:sz w:val="24"/>
          <w:szCs w:val="24"/>
        </w:rPr>
        <w:t>) – 0.529(</w:t>
      </w:r>
      <w:r w:rsidRPr="00C84A5B">
        <w:rPr>
          <w:rFonts w:ascii="Courier New" w:hAnsi="Courier New" w:cs="Courier New"/>
          <w:sz w:val="24"/>
          <w:szCs w:val="24"/>
        </w:rPr>
        <w:t>GYEAR</w:t>
      </w:r>
      <w:r>
        <w:rPr>
          <w:rFonts w:ascii="Times New Roman" w:hAnsi="Times New Roman" w:cs="Times New Roman"/>
          <w:sz w:val="24"/>
          <w:szCs w:val="24"/>
        </w:rPr>
        <w:t xml:space="preserve">) + </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4.733(</w:t>
      </w:r>
      <w:r w:rsidRPr="00C84A5B">
        <w:rPr>
          <w:rFonts w:ascii="Courier New" w:hAnsi="Courier New" w:cs="Courier New"/>
          <w:sz w:val="24"/>
          <w:szCs w:val="24"/>
        </w:rPr>
        <w:t>GENERAL</w:t>
      </w:r>
      <w:r>
        <w:rPr>
          <w:rFonts w:ascii="Times New Roman" w:hAnsi="Times New Roman" w:cs="Times New Roman"/>
          <w:sz w:val="24"/>
          <w:szCs w:val="24"/>
        </w:rPr>
        <w:t>) – 0.627(</w:t>
      </w:r>
      <w:r w:rsidRPr="00C84A5B">
        <w:rPr>
          <w:rFonts w:ascii="Courier New" w:hAnsi="Courier New" w:cs="Courier New"/>
          <w:sz w:val="24"/>
          <w:szCs w:val="24"/>
        </w:rPr>
        <w:t>ORIGINAL</w:t>
      </w:r>
      <w:r>
        <w:rPr>
          <w:rFonts w:ascii="Times New Roman" w:hAnsi="Times New Roman" w:cs="Times New Roman"/>
          <w:sz w:val="24"/>
          <w:szCs w:val="24"/>
        </w:rPr>
        <w:t>)</w:t>
      </w:r>
    </w:p>
    <w:p w:rsidR="009D2A67" w:rsidRDefault="009C33E3" w:rsidP="009D2A6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w:t>
      </w:r>
      <w:r w:rsidR="00C05AC4">
        <w:rPr>
          <w:rFonts w:ascii="Times New Roman" w:hAnsi="Times New Roman" w:cs="Times New Roman"/>
          <w:sz w:val="24"/>
          <w:szCs w:val="24"/>
        </w:rPr>
        <w:t>here</w:t>
      </w:r>
      <w:proofErr w:type="gramEnd"/>
      <w:r w:rsidR="00C05AC4">
        <w:rPr>
          <w:rFonts w:ascii="Times New Roman" w:hAnsi="Times New Roman" w:cs="Times New Roman"/>
          <w:sz w:val="24"/>
          <w:szCs w:val="24"/>
        </w:rPr>
        <w:t xml:space="preserve"> </w:t>
      </w:r>
      <w:r w:rsidR="00C05AC4" w:rsidRPr="00C05AC4">
        <w:rPr>
          <w:rFonts w:ascii="Courier New" w:hAnsi="Courier New" w:cs="Courier New"/>
          <w:sz w:val="24"/>
          <w:szCs w:val="24"/>
        </w:rPr>
        <w:t>CRECBINARY</w:t>
      </w:r>
      <w:r w:rsidR="00C05AC4">
        <w:rPr>
          <w:rFonts w:ascii="Times New Roman" w:hAnsi="Times New Roman" w:cs="Times New Roman"/>
          <w:sz w:val="24"/>
          <w:szCs w:val="24"/>
        </w:rPr>
        <w:t xml:space="preserve"> was coded as 1 for patents that receive 2 citations for fewer and </w:t>
      </w:r>
      <w:r w:rsidR="008E0001">
        <w:rPr>
          <w:rFonts w:ascii="Times New Roman" w:hAnsi="Times New Roman" w:cs="Times New Roman"/>
          <w:sz w:val="24"/>
          <w:szCs w:val="24"/>
        </w:rPr>
        <w:t xml:space="preserve">as </w:t>
      </w:r>
      <w:r w:rsidR="00C05AC4">
        <w:rPr>
          <w:rFonts w:ascii="Times New Roman" w:hAnsi="Times New Roman" w:cs="Times New Roman"/>
          <w:sz w:val="24"/>
          <w:szCs w:val="24"/>
        </w:rPr>
        <w:t xml:space="preserve">2 for patents that received more than 2 citations.  </w:t>
      </w:r>
      <w:r w:rsidR="009D2A67">
        <w:rPr>
          <w:rFonts w:ascii="Times New Roman" w:hAnsi="Times New Roman" w:cs="Times New Roman"/>
          <w:sz w:val="24"/>
          <w:szCs w:val="24"/>
        </w:rPr>
        <w:t>This can be re-written to provide the equation for determining the</w:t>
      </w:r>
      <w:r w:rsidR="008E0001">
        <w:rPr>
          <w:rFonts w:ascii="Times New Roman" w:hAnsi="Times New Roman" w:cs="Times New Roman"/>
          <w:sz w:val="24"/>
          <w:szCs w:val="24"/>
        </w:rPr>
        <w:t xml:space="preserve"> estimated</w:t>
      </w:r>
      <w:r w:rsidR="009D2A67">
        <w:rPr>
          <w:rFonts w:ascii="Times New Roman" w:hAnsi="Times New Roman" w:cs="Times New Roman"/>
          <w:sz w:val="24"/>
          <w:szCs w:val="24"/>
        </w:rPr>
        <w:t xml:space="preserve"> probability that a patent received more than 2 citations as follows:</w:t>
      </w:r>
    </w:p>
    <w:p w:rsidR="009D2A67" w:rsidRDefault="00902F6A" w:rsidP="00347B6E">
      <w:pPr>
        <w:spacing w:after="0" w:line="480" w:lineRule="auto"/>
        <w:ind w:firstLine="720"/>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9D2A67">
        <w:rPr>
          <w:rFonts w:ascii="Times New Roman" w:hAnsi="Times New Roman" w:cs="Times New Roman"/>
          <w:sz w:val="24"/>
          <w:szCs w:val="24"/>
        </w:rPr>
        <w:t xml:space="preserve"> </w:t>
      </w:r>
      <w:r w:rsidR="00C05481">
        <w:rPr>
          <w:rFonts w:ascii="Times New Roman" w:hAnsi="Times New Roman" w:cs="Times New Roman"/>
          <w:sz w:val="24"/>
          <w:szCs w:val="24"/>
        </w:rPr>
        <w:t>= Logit</w:t>
      </w:r>
      <w:r w:rsidR="00C05481">
        <w:rPr>
          <w:rFonts w:ascii="Times New Roman" w:hAnsi="Times New Roman" w:cs="Times New Roman"/>
          <w:sz w:val="24"/>
          <w:szCs w:val="24"/>
          <w:vertAlign w:val="superscript"/>
        </w:rPr>
        <w:t>-1</w:t>
      </w:r>
      <w:r w:rsidR="00C05481">
        <w:rPr>
          <w:rFonts w:ascii="Times New Roman" w:hAnsi="Times New Roman" w:cs="Times New Roman"/>
          <w:sz w:val="24"/>
          <w:szCs w:val="24"/>
        </w:rPr>
        <w:t>(</w:t>
      </w:r>
      <m:oMath>
        <m:r>
          <w:rPr>
            <w:rFonts w:ascii="Cambria Math" w:hAnsi="Cambria Math" w:cs="Times New Roman"/>
            <w:sz w:val="24"/>
            <w:szCs w:val="24"/>
          </w:rPr>
          <m:t>p</m:t>
        </m:r>
      </m:oMath>
      <w:r w:rsidR="00C05481">
        <w:rPr>
          <w:rFonts w:ascii="Times New Roman" w:hAnsi="Times New Roman" w:cs="Times New Roman"/>
          <w:sz w:val="24"/>
          <w:szCs w:val="24"/>
        </w:rPr>
        <w:t xml:space="preserve">) </w:t>
      </w:r>
      <w:r w:rsidR="009D2A67">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1+ 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den>
        </m:f>
      </m:oMath>
    </w:p>
    <w:p w:rsidR="00BE372A" w:rsidRDefault="00745555"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 2 shows the results of the Omnibus test of the model coefficients</w:t>
      </w:r>
      <w:r w:rsidR="00AF3007">
        <w:rPr>
          <w:rFonts w:ascii="Times New Roman" w:hAnsi="Times New Roman" w:cs="Times New Roman"/>
          <w:sz w:val="24"/>
          <w:szCs w:val="24"/>
        </w:rPr>
        <w:t xml:space="preserve"> and Table 3 shows the model summary statistics</w:t>
      </w:r>
      <w:r>
        <w:rPr>
          <w:rFonts w:ascii="Times New Roman" w:hAnsi="Times New Roman" w:cs="Times New Roman"/>
          <w:sz w:val="24"/>
          <w:szCs w:val="24"/>
        </w:rPr>
        <w:t xml:space="preserve">.  </w:t>
      </w:r>
      <w:r w:rsidR="00AF3007">
        <w:rPr>
          <w:rFonts w:ascii="Times New Roman" w:hAnsi="Times New Roman" w:cs="Times New Roman"/>
          <w:sz w:val="24"/>
          <w:szCs w:val="24"/>
        </w:rPr>
        <w:t xml:space="preserve">The result of the Omnibus test </w:t>
      </w:r>
      <w:r>
        <w:rPr>
          <w:rFonts w:ascii="Times New Roman" w:hAnsi="Times New Roman" w:cs="Times New Roman"/>
          <w:sz w:val="24"/>
          <w:szCs w:val="24"/>
        </w:rPr>
        <w:t>indicates that</w:t>
      </w:r>
      <w:r w:rsidR="00F27DEB">
        <w:rPr>
          <w:rFonts w:ascii="Times New Roman" w:hAnsi="Times New Roman" w:cs="Times New Roman"/>
          <w:sz w:val="24"/>
          <w:szCs w:val="24"/>
        </w:rPr>
        <w:t xml:space="preserve"> including</w:t>
      </w:r>
      <w:r>
        <w:rPr>
          <w:rFonts w:ascii="Times New Roman" w:hAnsi="Times New Roman" w:cs="Times New Roman"/>
          <w:sz w:val="24"/>
          <w:szCs w:val="24"/>
        </w:rPr>
        <w:t xml:space="preserve"> the </w:t>
      </w:r>
      <w:r w:rsidRPr="00745555">
        <w:rPr>
          <w:rFonts w:ascii="Courier New" w:hAnsi="Courier New" w:cs="Courier New"/>
          <w:sz w:val="24"/>
          <w:szCs w:val="24"/>
        </w:rPr>
        <w:t>CLAIMS</w:t>
      </w:r>
      <w:r>
        <w:rPr>
          <w:rFonts w:ascii="Times New Roman" w:hAnsi="Times New Roman" w:cs="Times New Roman"/>
          <w:sz w:val="24"/>
          <w:szCs w:val="24"/>
        </w:rPr>
        <w:t xml:space="preserve">, </w:t>
      </w:r>
      <w:r w:rsidRPr="00745555">
        <w:rPr>
          <w:rFonts w:ascii="Courier New" w:hAnsi="Courier New" w:cs="Courier New"/>
          <w:sz w:val="24"/>
          <w:szCs w:val="24"/>
        </w:rPr>
        <w:t>GYEAR</w:t>
      </w:r>
      <w:r>
        <w:rPr>
          <w:rFonts w:ascii="Times New Roman" w:hAnsi="Times New Roman" w:cs="Times New Roman"/>
          <w:sz w:val="24"/>
          <w:szCs w:val="24"/>
        </w:rPr>
        <w:t xml:space="preserve">, </w:t>
      </w:r>
      <w:r w:rsidRPr="00745555">
        <w:rPr>
          <w:rFonts w:ascii="Courier New" w:hAnsi="Courier New" w:cs="Courier New"/>
          <w:sz w:val="24"/>
          <w:szCs w:val="24"/>
        </w:rPr>
        <w:t>GENERAL</w:t>
      </w:r>
      <w:r>
        <w:rPr>
          <w:rFonts w:ascii="Times New Roman" w:hAnsi="Times New Roman" w:cs="Times New Roman"/>
          <w:sz w:val="24"/>
          <w:szCs w:val="24"/>
        </w:rPr>
        <w:t xml:space="preserve">, and </w:t>
      </w:r>
      <w:r w:rsidRPr="00745555">
        <w:rPr>
          <w:rFonts w:ascii="Courier New" w:hAnsi="Courier New" w:cs="Courier New"/>
          <w:sz w:val="24"/>
          <w:szCs w:val="24"/>
        </w:rPr>
        <w:t>ORIGINA</w:t>
      </w:r>
      <w:r w:rsidRPr="00F27DEB">
        <w:rPr>
          <w:rFonts w:ascii="Courier New" w:hAnsi="Courier New" w:cs="Courier New"/>
          <w:sz w:val="24"/>
          <w:szCs w:val="24"/>
        </w:rPr>
        <w:t>L</w:t>
      </w:r>
      <w:r>
        <w:rPr>
          <w:rFonts w:ascii="Times New Roman" w:hAnsi="Times New Roman" w:cs="Times New Roman"/>
          <w:sz w:val="24"/>
          <w:szCs w:val="24"/>
        </w:rPr>
        <w:t xml:space="preserve"> varia</w:t>
      </w:r>
      <w:r w:rsidR="00492BB0">
        <w:rPr>
          <w:rFonts w:ascii="Times New Roman" w:hAnsi="Times New Roman" w:cs="Times New Roman"/>
          <w:sz w:val="24"/>
          <w:szCs w:val="24"/>
        </w:rPr>
        <w:t>bles improved the model fit.  O</w:t>
      </w:r>
      <w:r>
        <w:rPr>
          <w:rFonts w:ascii="Times New Roman" w:hAnsi="Times New Roman" w:cs="Times New Roman"/>
          <w:sz w:val="24"/>
          <w:szCs w:val="24"/>
        </w:rPr>
        <w:t xml:space="preserve">ne or </w:t>
      </w:r>
      <w:r w:rsidR="00AF3007">
        <w:rPr>
          <w:rFonts w:ascii="Times New Roman" w:hAnsi="Times New Roman" w:cs="Times New Roman"/>
          <w:sz w:val="24"/>
          <w:szCs w:val="24"/>
        </w:rPr>
        <w:t>more of these IVs predict the dependent variable</w:t>
      </w:r>
      <w:r>
        <w:rPr>
          <w:rFonts w:ascii="Times New Roman" w:hAnsi="Times New Roman" w:cs="Times New Roman"/>
          <w:sz w:val="24"/>
          <w:szCs w:val="24"/>
        </w:rPr>
        <w:t>.</w:t>
      </w:r>
      <w:r w:rsidR="00492BB0">
        <w:rPr>
          <w:rFonts w:ascii="Times New Roman" w:hAnsi="Times New Roman" w:cs="Times New Roman"/>
          <w:sz w:val="24"/>
          <w:szCs w:val="24"/>
        </w:rPr>
        <w:t xml:space="preserve">  The p-value was less than 0.001</w:t>
      </w:r>
      <w:r w:rsidR="00FE332A">
        <w:rPr>
          <w:rFonts w:ascii="Times New Roman" w:hAnsi="Times New Roman" w:cs="Times New Roman"/>
          <w:sz w:val="24"/>
          <w:szCs w:val="24"/>
        </w:rPr>
        <w:t xml:space="preserve">, which was </w:t>
      </w:r>
      <w:r w:rsidR="00FE332A">
        <w:rPr>
          <w:rFonts w:ascii="Times New Roman" w:hAnsi="Times New Roman" w:cs="Times New Roman"/>
          <w:sz w:val="24"/>
          <w:szCs w:val="24"/>
        </w:rPr>
        <w:lastRenderedPageBreak/>
        <w:t>significant</w:t>
      </w:r>
      <w:r w:rsidR="00492BB0">
        <w:rPr>
          <w:rFonts w:ascii="Times New Roman" w:hAnsi="Times New Roman" w:cs="Times New Roman"/>
          <w:sz w:val="24"/>
          <w:szCs w:val="24"/>
        </w:rPr>
        <w:t>.</w:t>
      </w:r>
      <w:r w:rsidR="00FE332A">
        <w:rPr>
          <w:rFonts w:ascii="Times New Roman" w:hAnsi="Times New Roman" w:cs="Times New Roman"/>
          <w:sz w:val="24"/>
          <w:szCs w:val="24"/>
        </w:rPr>
        <w:t xml:space="preserve">  The -2 Log likelihood was reduced from 2,623.109 to 1,906.867, which was a decrease of 716.242.</w:t>
      </w:r>
      <w:r w:rsidR="007A1DC5" w:rsidRPr="007A1DC5">
        <w:rPr>
          <w:rFonts w:ascii="Times New Roman" w:hAnsi="Times New Roman" w:cs="Times New Roman"/>
          <w:sz w:val="24"/>
          <w:szCs w:val="24"/>
        </w:rPr>
        <w:t xml:space="preserve"> </w:t>
      </w:r>
      <w:r w:rsidR="007A1DC5">
        <w:rPr>
          <w:rFonts w:ascii="Times New Roman" w:hAnsi="Times New Roman" w:cs="Times New Roman"/>
          <w:sz w:val="24"/>
          <w:szCs w:val="24"/>
        </w:rPr>
        <w:t xml:space="preserve"> The </w:t>
      </w:r>
      <w:proofErr w:type="spellStart"/>
      <w:r w:rsidR="007A1DC5">
        <w:rPr>
          <w:rFonts w:ascii="Times New Roman" w:hAnsi="Times New Roman" w:cs="Times New Roman"/>
          <w:sz w:val="24"/>
          <w:szCs w:val="24"/>
        </w:rPr>
        <w:t>Nagelkerke</w:t>
      </w:r>
      <w:proofErr w:type="spellEnd"/>
      <w:r w:rsidR="007A1DC5">
        <w:rPr>
          <w:rFonts w:ascii="Times New Roman" w:hAnsi="Times New Roman" w:cs="Times New Roman"/>
          <w:sz w:val="24"/>
          <w:szCs w:val="24"/>
        </w:rPr>
        <w:t xml:space="preserve"> R</w:t>
      </w:r>
      <w:r w:rsidR="007A1DC5">
        <w:rPr>
          <w:rFonts w:ascii="Times New Roman" w:hAnsi="Times New Roman" w:cs="Times New Roman"/>
          <w:sz w:val="24"/>
          <w:szCs w:val="24"/>
          <w:vertAlign w:val="superscript"/>
        </w:rPr>
        <w:t>2</w:t>
      </w:r>
      <w:r w:rsidR="007A1DC5">
        <w:rPr>
          <w:rFonts w:ascii="Times New Roman" w:hAnsi="Times New Roman" w:cs="Times New Roman"/>
          <w:sz w:val="24"/>
          <w:szCs w:val="24"/>
        </w:rPr>
        <w:t xml:space="preserve"> was 0.415, which indicates that 41.5 percent of the probability that a patent received more than 2 citations was explained by the IVs included in the model.</w:t>
      </w:r>
    </w:p>
    <w:p w:rsidR="00745555" w:rsidRPr="00AF3007" w:rsidRDefault="001F264D" w:rsidP="00AF3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AF3007">
        <w:rPr>
          <w:rFonts w:ascii="Times New Roman" w:hAnsi="Times New Roman" w:cs="Times New Roman"/>
          <w:sz w:val="24"/>
          <w:szCs w:val="24"/>
        </w:rPr>
        <w:t>4</w:t>
      </w:r>
      <w:r>
        <w:rPr>
          <w:rFonts w:ascii="Times New Roman" w:hAnsi="Times New Roman" w:cs="Times New Roman"/>
          <w:sz w:val="24"/>
          <w:szCs w:val="24"/>
        </w:rPr>
        <w:t xml:space="preserve"> shows the</w:t>
      </w:r>
      <w:r w:rsidR="004A2BFE">
        <w:rPr>
          <w:rFonts w:ascii="Times New Roman" w:hAnsi="Times New Roman" w:cs="Times New Roman"/>
          <w:sz w:val="24"/>
          <w:szCs w:val="24"/>
        </w:rPr>
        <w:t xml:space="preserve"> results of the</w:t>
      </w:r>
      <w:r>
        <w:rPr>
          <w:rFonts w:ascii="Times New Roman" w:hAnsi="Times New Roman" w:cs="Times New Roman"/>
          <w:sz w:val="24"/>
          <w:szCs w:val="24"/>
        </w:rPr>
        <w:t xml:space="preserv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r w:rsidR="00AF3007">
        <w:rPr>
          <w:rFonts w:ascii="Times New Roman" w:hAnsi="Times New Roman" w:cs="Times New Roman"/>
          <w:sz w:val="24"/>
          <w:szCs w:val="24"/>
        </w:rPr>
        <w:t xml:space="preserve"> and Table 5</w:t>
      </w:r>
      <w:r w:rsidR="004A2BFE">
        <w:rPr>
          <w:rFonts w:ascii="Times New Roman" w:hAnsi="Times New Roman" w:cs="Times New Roman"/>
          <w:sz w:val="24"/>
          <w:szCs w:val="24"/>
        </w:rPr>
        <w:t xml:space="preserve"> shows the cont</w:t>
      </w:r>
      <w:r w:rsidR="00FE34A2">
        <w:rPr>
          <w:rFonts w:ascii="Times New Roman" w:hAnsi="Times New Roman" w:cs="Times New Roman"/>
          <w:sz w:val="24"/>
          <w:szCs w:val="24"/>
        </w:rPr>
        <w:t>ingency table for the Hosmer-</w:t>
      </w:r>
      <w:proofErr w:type="spellStart"/>
      <w:r w:rsidR="00FE34A2">
        <w:rPr>
          <w:rFonts w:ascii="Times New Roman" w:hAnsi="Times New Roman" w:cs="Times New Roman"/>
          <w:sz w:val="24"/>
          <w:szCs w:val="24"/>
        </w:rPr>
        <w:t>Lemeshow</w:t>
      </w:r>
      <w:proofErr w:type="spellEnd"/>
      <w:r w:rsidR="00FE34A2">
        <w:rPr>
          <w:rFonts w:ascii="Times New Roman" w:hAnsi="Times New Roman" w:cs="Times New Roman"/>
          <w:sz w:val="24"/>
          <w:szCs w:val="24"/>
        </w:rPr>
        <w:t xml:space="preserve"> Test.</w:t>
      </w:r>
      <w:r>
        <w:rPr>
          <w:rFonts w:ascii="Times New Roman" w:hAnsi="Times New Roman" w:cs="Times New Roman"/>
          <w:sz w:val="24"/>
          <w:szCs w:val="24"/>
        </w:rPr>
        <w:t xml:space="preserve">  The chi-square value was 23.671</w:t>
      </w:r>
      <w:r w:rsidR="007A6FD9">
        <w:rPr>
          <w:rFonts w:ascii="Times New Roman" w:hAnsi="Times New Roman" w:cs="Times New Roman"/>
          <w:sz w:val="24"/>
          <w:szCs w:val="24"/>
        </w:rPr>
        <w:t>, which does not seem very small</w:t>
      </w:r>
      <w:r w:rsidR="004A2BFE">
        <w:rPr>
          <w:rFonts w:ascii="Times New Roman" w:hAnsi="Times New Roman" w:cs="Times New Roman"/>
          <w:sz w:val="24"/>
          <w:szCs w:val="24"/>
        </w:rPr>
        <w:t>.  The p-value was 0.003 which is not much above the 0.001 significance level.  These results suggest a lack of fit for the model.</w:t>
      </w:r>
      <w:r w:rsidR="000837EA">
        <w:rPr>
          <w:rFonts w:ascii="Times New Roman" w:hAnsi="Times New Roman" w:cs="Times New Roman"/>
          <w:sz w:val="24"/>
          <w:szCs w:val="24"/>
        </w:rPr>
        <w:t xml:space="preserve"> </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 analysis provides insight into a topic that is of considerable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the drivers of the technology transfer outcomes and identify possible factors that should be considered when forming public policy regarding technology transfer.  </w:t>
      </w:r>
      <w:r w:rsidR="002829D7">
        <w:rPr>
          <w:rFonts w:ascii="Times New Roman" w:hAnsi="Times New Roman" w:cs="Times New Roman"/>
          <w:sz w:val="24"/>
          <w:szCs w:val="24"/>
        </w:rPr>
        <w:t>The analysis</w:t>
      </w:r>
      <w:r w:rsidR="00135A7B">
        <w:rPr>
          <w:rFonts w:ascii="Times New Roman" w:hAnsi="Times New Roman" w:cs="Times New Roman"/>
          <w:sz w:val="24"/>
          <w:szCs w:val="24"/>
        </w:rPr>
        <w:t xml:space="preserve">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w:t>
      </w:r>
      <w:r w:rsidR="00944360">
        <w:rPr>
          <w:rFonts w:ascii="Times New Roman" w:hAnsi="Times New Roman" w:cs="Times New Roman"/>
          <w:sz w:val="24"/>
          <w:szCs w:val="24"/>
        </w:rPr>
        <w:t>feasible.  This</w:t>
      </w:r>
      <w:r w:rsidR="00135A7B">
        <w:rPr>
          <w:rFonts w:ascii="Times New Roman" w:hAnsi="Times New Roman" w:cs="Times New Roman"/>
          <w:sz w:val="24"/>
          <w:szCs w:val="24"/>
        </w:rPr>
        <w:t xml:space="preserve"> could</w:t>
      </w:r>
      <w:r w:rsidR="00944360">
        <w:rPr>
          <w:rFonts w:ascii="Times New Roman" w:hAnsi="Times New Roman" w:cs="Times New Roman"/>
          <w:sz w:val="24"/>
          <w:szCs w:val="24"/>
        </w:rPr>
        <w:t xml:space="preserve"> significantly</w:t>
      </w:r>
      <w:r w:rsidR="00135A7B">
        <w:rPr>
          <w:rFonts w:ascii="Times New Roman" w:hAnsi="Times New Roman" w:cs="Times New Roman"/>
          <w:sz w:val="24"/>
          <w:szCs w:val="24"/>
        </w:rPr>
        <w:t xml:space="preserve"> affect the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829D7">
        <w:rPr>
          <w:rFonts w:ascii="Times New Roman" w:hAnsi="Times New Roman" w:cs="Times New Roman"/>
          <w:sz w:val="24"/>
          <w:szCs w:val="24"/>
        </w:rPr>
        <w:t>to</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increase</w:t>
      </w:r>
      <w:r w:rsidR="002829D7">
        <w:rPr>
          <w:rFonts w:ascii="Times New Roman" w:hAnsi="Times New Roman" w:cs="Times New Roman"/>
          <w:sz w:val="24"/>
          <w:szCs w:val="24"/>
        </w:rPr>
        <w:t xml:space="preserve"> the</w:t>
      </w:r>
      <w:r w:rsidR="00205B2C">
        <w:rPr>
          <w:rFonts w:ascii="Times New Roman" w:hAnsi="Times New Roman" w:cs="Times New Roman"/>
          <w:sz w:val="24"/>
          <w:szCs w:val="24"/>
        </w:rPr>
        <w:t xml:space="preserve"> </w:t>
      </w:r>
      <w:r w:rsidR="002829D7" w:rsidRPr="00515BF4">
        <w:rPr>
          <w:rFonts w:ascii="Times New Roman" w:hAnsi="Times New Roman" w:cs="Times New Roman"/>
          <w:sz w:val="24"/>
          <w:szCs w:val="24"/>
        </w:rPr>
        <w:t xml:space="preserve">transfer </w:t>
      </w:r>
      <w:r w:rsidRPr="00515BF4">
        <w:rPr>
          <w:rFonts w:ascii="Times New Roman" w:hAnsi="Times New Roman" w:cs="Times New Roman"/>
          <w:sz w:val="24"/>
          <w:szCs w:val="24"/>
        </w:rPr>
        <w:t>of federally-funded research to the private sector.</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w:t>
      </w:r>
      <w:r w:rsidRPr="00515BF4">
        <w:rPr>
          <w:rFonts w:ascii="Times New Roman" w:hAnsi="Times New Roman" w:cs="Times New Roman"/>
          <w:sz w:val="24"/>
          <w:szCs w:val="24"/>
        </w:rPr>
        <w:lastRenderedPageBreak/>
        <w:t>receiving citations from patents over a longer period than patents issued in the la</w:t>
      </w:r>
      <w:r w:rsidR="00205B2C">
        <w:rPr>
          <w:rFonts w:ascii="Times New Roman" w:hAnsi="Times New Roman" w:cs="Times New Roman"/>
          <w:sz w:val="24"/>
          <w:szCs w:val="24"/>
        </w:rPr>
        <w:t xml:space="preserve">tter part of the study period. </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w:t>
      </w:r>
      <w:r w:rsidR="00030383">
        <w:rPr>
          <w:rFonts w:ascii="Times New Roman" w:hAnsi="Times New Roman" w:cs="Times New Roman"/>
          <w:sz w:val="24"/>
          <w:szCs w:val="24"/>
        </w:rPr>
        <w:t xml:space="preserve">Removing outliers from the data may improve the goodness-of-fit of the model.  </w:t>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0031708C">
        <w:rPr>
          <w:rFonts w:ascii="Times New Roman" w:hAnsi="Times New Roman" w:cs="Times New Roman"/>
          <w:sz w:val="24"/>
          <w:szCs w:val="24"/>
        </w:rPr>
        <w:t xml:space="preserve"> classifications as an indication of the diversity of a technology as well as the </w:t>
      </w:r>
      <w:r w:rsidRPr="00515BF4">
        <w:rPr>
          <w:rFonts w:ascii="Times New Roman" w:hAnsi="Times New Roman" w:cs="Times New Roman"/>
          <w:sz w:val="24"/>
          <w:szCs w:val="24"/>
        </w:rPr>
        <w:t>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BB7F88" w:rsidRDefault="00BB7F88" w:rsidP="00BB7F88">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ment and Budget [OMB]. (2008</w:t>
      </w:r>
      <w:r>
        <w:rPr>
          <w:rFonts w:ascii="Times New Roman" w:hAnsi="Times New Roman" w:cs="Times New Roman"/>
          <w:sz w:val="24"/>
          <w:szCs w:val="24"/>
        </w:rPr>
        <w:t xml:space="preserve">).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Pr>
          <w:rFonts w:ascii="Times New Roman" w:hAnsi="Times New Roman" w:cs="Times New Roman"/>
          <w:sz w:val="24"/>
          <w:szCs w:val="24"/>
        </w:rPr>
        <w:t>{ENTER LINK}</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drawing>
          <wp:inline distT="0" distB="0" distL="0" distR="0" wp14:anchorId="5BA80E8D" wp14:editId="59431329">
            <wp:extent cx="5943600" cy="34693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70" t="1500" r="1159"/>
                    <a:stretch/>
                  </pic:blipFill>
                  <pic:spPr bwMode="auto">
                    <a:xfrm>
                      <a:off x="0" y="0"/>
                      <a:ext cx="5943600" cy="346930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9F3399" w:rsidP="009F3399">
      <w:pPr>
        <w:rPr>
          <w:rFonts w:ascii="Times New Roman" w:hAnsi="Times New Roman" w:cs="Times New Roman"/>
          <w:sz w:val="24"/>
          <w:szCs w:val="24"/>
        </w:rPr>
      </w:pPr>
      <w:r>
        <w:rPr>
          <w:rFonts w:ascii="Times New Roman" w:hAnsi="Times New Roman" w:cs="Times New Roman"/>
          <w:sz w:val="24"/>
          <w:szCs w:val="24"/>
        </w:rPr>
        <w:t>Table 1</w:t>
      </w:r>
    </w:p>
    <w:p w:rsidR="009F3399" w:rsidRPr="00BE372A" w:rsidRDefault="009F3399" w:rsidP="009F3399">
      <w:pPr>
        <w:rPr>
          <w:rFonts w:ascii="Times New Roman" w:hAnsi="Times New Roman" w:cs="Times New Roman"/>
          <w:sz w:val="24"/>
          <w:szCs w:val="24"/>
        </w:rPr>
      </w:pPr>
      <w:r>
        <w:rPr>
          <w:rFonts w:ascii="Times New Roman" w:hAnsi="Times New Roman" w:cs="Times New Roman"/>
          <w:sz w:val="24"/>
          <w:szCs w:val="24"/>
        </w:rPr>
        <w:t>Equation Variables</w:t>
      </w:r>
    </w:p>
    <w:tbl>
      <w:tblPr>
        <w:tblW w:w="9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6"/>
        <w:gridCol w:w="1061"/>
        <w:gridCol w:w="990"/>
        <w:gridCol w:w="933"/>
        <w:gridCol w:w="933"/>
        <w:gridCol w:w="933"/>
        <w:gridCol w:w="933"/>
        <w:gridCol w:w="933"/>
        <w:gridCol w:w="933"/>
        <w:gridCol w:w="936"/>
      </w:tblGrid>
      <w:tr w:rsidR="009F3399" w:rsidRPr="00BE372A" w:rsidTr="00D177F2">
        <w:trPr>
          <w:cantSplit/>
          <w:trHeight w:val="341"/>
        </w:trPr>
        <w:tc>
          <w:tcPr>
            <w:tcW w:w="1897" w:type="dxa"/>
            <w:gridSpan w:val="2"/>
            <w:vMerge w:val="restart"/>
            <w:tcBorders>
              <w:top w:val="nil"/>
              <w:left w:val="nil"/>
              <w:bottom w:val="nil"/>
              <w:right w:val="nil"/>
            </w:tcBorders>
            <w:shd w:val="clear" w:color="auto" w:fill="FFFFFF"/>
            <w:vAlign w:val="bottom"/>
          </w:tcPr>
          <w:p w:rsidR="009F3399" w:rsidRPr="00BE372A" w:rsidRDefault="009F3399" w:rsidP="00D177F2">
            <w:pPr>
              <w:autoSpaceDE w:val="0"/>
              <w:autoSpaceDN w:val="0"/>
              <w:adjustRightInd w:val="0"/>
              <w:spacing w:after="0" w:line="240" w:lineRule="auto"/>
              <w:rPr>
                <w:rFonts w:ascii="Times New Roman" w:hAnsi="Times New Roman" w:cs="Times New Roman"/>
                <w:sz w:val="24"/>
                <w:szCs w:val="24"/>
              </w:rPr>
            </w:pPr>
          </w:p>
        </w:tc>
        <w:tc>
          <w:tcPr>
            <w:tcW w:w="990" w:type="dxa"/>
            <w:vMerge w:val="restart"/>
            <w:tcBorders>
              <w:top w:val="nil"/>
              <w:left w:val="nil"/>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B</w:t>
            </w:r>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S.E.</w:t>
            </w:r>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Wald</w:t>
            </w:r>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df</w:t>
            </w:r>
            <w:proofErr w:type="spellEnd"/>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Sig.</w:t>
            </w:r>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Exp</w:t>
            </w:r>
            <w:proofErr w:type="spellEnd"/>
            <w:r w:rsidRPr="00BE372A">
              <w:rPr>
                <w:rFonts w:ascii="Arial" w:hAnsi="Arial" w:cs="Arial"/>
                <w:color w:val="264A60"/>
                <w:sz w:val="18"/>
                <w:szCs w:val="18"/>
              </w:rPr>
              <w:t>(B)</w:t>
            </w:r>
          </w:p>
        </w:tc>
        <w:tc>
          <w:tcPr>
            <w:tcW w:w="1869" w:type="dxa"/>
            <w:gridSpan w:val="2"/>
            <w:tcBorders>
              <w:top w:val="nil"/>
              <w:left w:val="single" w:sz="8" w:space="0" w:color="E0E0E0"/>
              <w:bottom w:val="nil"/>
              <w:right w:val="nil"/>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 xml:space="preserve">95% </w:t>
            </w:r>
            <w:proofErr w:type="spellStart"/>
            <w:r w:rsidRPr="00BE372A">
              <w:rPr>
                <w:rFonts w:ascii="Arial" w:hAnsi="Arial" w:cs="Arial"/>
                <w:color w:val="264A60"/>
                <w:sz w:val="18"/>
                <w:szCs w:val="18"/>
              </w:rPr>
              <w:t>C.I.for</w:t>
            </w:r>
            <w:proofErr w:type="spellEnd"/>
            <w:r w:rsidRPr="00BE372A">
              <w:rPr>
                <w:rFonts w:ascii="Arial" w:hAnsi="Arial" w:cs="Arial"/>
                <w:color w:val="264A60"/>
                <w:sz w:val="18"/>
                <w:szCs w:val="18"/>
              </w:rPr>
              <w:t xml:space="preserve"> EXP(B)</w:t>
            </w:r>
          </w:p>
        </w:tc>
      </w:tr>
      <w:tr w:rsidR="009F3399" w:rsidRPr="00BE372A" w:rsidTr="00D177F2">
        <w:trPr>
          <w:cantSplit/>
          <w:trHeight w:val="157"/>
        </w:trPr>
        <w:tc>
          <w:tcPr>
            <w:tcW w:w="1897" w:type="dxa"/>
            <w:gridSpan w:val="2"/>
            <w:vMerge/>
            <w:tcBorders>
              <w:top w:val="nil"/>
              <w:left w:val="nil"/>
              <w:bottom w:val="nil"/>
              <w:right w:val="nil"/>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90" w:type="dxa"/>
            <w:vMerge/>
            <w:tcBorders>
              <w:top w:val="nil"/>
              <w:left w:val="nil"/>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33" w:type="dxa"/>
            <w:tcBorders>
              <w:top w:val="nil"/>
              <w:left w:val="single" w:sz="8" w:space="0" w:color="E0E0E0"/>
              <w:bottom w:val="single" w:sz="8" w:space="0" w:color="152935"/>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Lower</w:t>
            </w:r>
          </w:p>
        </w:tc>
        <w:tc>
          <w:tcPr>
            <w:tcW w:w="936" w:type="dxa"/>
            <w:tcBorders>
              <w:top w:val="nil"/>
              <w:left w:val="single" w:sz="8" w:space="0" w:color="E0E0E0"/>
              <w:bottom w:val="single" w:sz="8" w:space="0" w:color="152935"/>
              <w:right w:val="nil"/>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Upper</w:t>
            </w:r>
          </w:p>
        </w:tc>
      </w:tr>
      <w:tr w:rsidR="009F3399" w:rsidRPr="00BE372A" w:rsidTr="00D177F2">
        <w:trPr>
          <w:cantSplit/>
          <w:trHeight w:val="356"/>
        </w:trPr>
        <w:tc>
          <w:tcPr>
            <w:tcW w:w="836" w:type="dxa"/>
            <w:vMerge w:val="restart"/>
            <w:tcBorders>
              <w:top w:val="single" w:sz="8" w:space="0" w:color="152935"/>
              <w:left w:val="nil"/>
              <w:bottom w:val="single" w:sz="8" w:space="0" w:color="152935"/>
              <w:right w:val="nil"/>
            </w:tcBorders>
            <w:shd w:val="clear" w:color="auto" w:fill="E0E0E0"/>
          </w:tcPr>
          <w:p w:rsidR="009F3399" w:rsidRPr="00BE372A" w:rsidRDefault="009F3399" w:rsidP="00D177F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Step 1</w:t>
            </w:r>
            <w:r w:rsidRPr="00BE372A">
              <w:rPr>
                <w:rFonts w:ascii="Arial" w:hAnsi="Arial" w:cs="Arial"/>
                <w:color w:val="264A60"/>
                <w:sz w:val="18"/>
                <w:szCs w:val="18"/>
                <w:vertAlign w:val="superscript"/>
              </w:rPr>
              <w:t>a</w:t>
            </w:r>
          </w:p>
        </w:tc>
        <w:tc>
          <w:tcPr>
            <w:tcW w:w="1061" w:type="dxa"/>
            <w:tcBorders>
              <w:top w:val="single" w:sz="8" w:space="0" w:color="152935"/>
              <w:left w:val="nil"/>
              <w:bottom w:val="single" w:sz="8" w:space="0" w:color="AEAEAE"/>
              <w:right w:val="nil"/>
            </w:tcBorders>
            <w:shd w:val="clear" w:color="auto" w:fill="E0E0E0"/>
          </w:tcPr>
          <w:p w:rsidR="009F3399" w:rsidRPr="00BE372A" w:rsidRDefault="009F3399" w:rsidP="00D177F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CLAIMS</w:t>
            </w:r>
          </w:p>
        </w:tc>
        <w:tc>
          <w:tcPr>
            <w:tcW w:w="990" w:type="dxa"/>
            <w:tcBorders>
              <w:top w:val="single" w:sz="8" w:space="0" w:color="152935"/>
              <w:left w:val="nil"/>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10.124</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1.006</w:t>
            </w:r>
          </w:p>
        </w:tc>
        <w:tc>
          <w:tcPr>
            <w:tcW w:w="936" w:type="dxa"/>
            <w:tcBorders>
              <w:top w:val="single" w:sz="8" w:space="0" w:color="152935"/>
              <w:left w:val="single" w:sz="8" w:space="0" w:color="E0E0E0"/>
              <w:bottom w:val="single" w:sz="8" w:space="0" w:color="AEAEAE"/>
              <w:right w:val="nil"/>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1.024</w:t>
            </w:r>
          </w:p>
        </w:tc>
      </w:tr>
      <w:tr w:rsidR="009F3399" w:rsidRPr="00BE372A" w:rsidTr="00D177F2">
        <w:trPr>
          <w:cantSplit/>
          <w:trHeight w:val="157"/>
        </w:trPr>
        <w:tc>
          <w:tcPr>
            <w:tcW w:w="836" w:type="dxa"/>
            <w:vMerge/>
            <w:tcBorders>
              <w:top w:val="single" w:sz="8" w:space="0" w:color="152935"/>
              <w:left w:val="nil"/>
              <w:bottom w:val="single" w:sz="8" w:space="0" w:color="152935"/>
              <w:right w:val="nil"/>
            </w:tcBorders>
            <w:shd w:val="clear" w:color="auto" w:fill="E0E0E0"/>
          </w:tcPr>
          <w:p w:rsidR="009F3399" w:rsidRPr="00BE372A" w:rsidRDefault="009F3399" w:rsidP="00D177F2">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9F3399" w:rsidRPr="00BE372A" w:rsidRDefault="009F3399" w:rsidP="00D177F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GYEAR</w:t>
            </w:r>
          </w:p>
        </w:tc>
        <w:tc>
          <w:tcPr>
            <w:tcW w:w="990" w:type="dxa"/>
            <w:tcBorders>
              <w:top w:val="single" w:sz="8" w:space="0" w:color="AEAEAE"/>
              <w:left w:val="nil"/>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.057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86.717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.589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.527</w:t>
            </w:r>
          </w:p>
        </w:tc>
        <w:tc>
          <w:tcPr>
            <w:tcW w:w="936" w:type="dxa"/>
            <w:tcBorders>
              <w:top w:val="single" w:sz="8" w:space="0" w:color="AEAEAE"/>
              <w:left w:val="single" w:sz="8" w:space="0" w:color="E0E0E0"/>
              <w:bottom w:val="single" w:sz="8" w:space="0" w:color="AEAEAE"/>
              <w:right w:val="nil"/>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.659</w:t>
            </w:r>
          </w:p>
        </w:tc>
      </w:tr>
      <w:tr w:rsidR="009F3399" w:rsidRPr="00BE372A" w:rsidTr="00D177F2">
        <w:trPr>
          <w:cantSplit/>
          <w:trHeight w:val="157"/>
        </w:trPr>
        <w:tc>
          <w:tcPr>
            <w:tcW w:w="836" w:type="dxa"/>
            <w:vMerge/>
            <w:tcBorders>
              <w:top w:val="single" w:sz="8" w:space="0" w:color="152935"/>
              <w:left w:val="nil"/>
              <w:bottom w:val="single" w:sz="8" w:space="0" w:color="152935"/>
              <w:right w:val="nil"/>
            </w:tcBorders>
            <w:shd w:val="clear" w:color="auto" w:fill="E0E0E0"/>
          </w:tcPr>
          <w:p w:rsidR="009F3399" w:rsidRPr="00BE372A" w:rsidRDefault="009F3399" w:rsidP="00D177F2">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9F3399" w:rsidRPr="00BE372A" w:rsidRDefault="009F3399" w:rsidP="00D177F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GENERAL</w:t>
            </w:r>
          </w:p>
        </w:tc>
        <w:tc>
          <w:tcPr>
            <w:tcW w:w="990" w:type="dxa"/>
            <w:tcBorders>
              <w:top w:val="single" w:sz="8" w:space="0" w:color="AEAEAE"/>
              <w:left w:val="nil"/>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4.733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.235</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407.101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113.641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71.756</w:t>
            </w:r>
          </w:p>
        </w:tc>
        <w:tc>
          <w:tcPr>
            <w:tcW w:w="936" w:type="dxa"/>
            <w:tcBorders>
              <w:top w:val="single" w:sz="8" w:space="0" w:color="AEAEAE"/>
              <w:left w:val="single" w:sz="8" w:space="0" w:color="E0E0E0"/>
              <w:bottom w:val="single" w:sz="8" w:space="0" w:color="AEAEAE"/>
              <w:right w:val="nil"/>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179.973</w:t>
            </w:r>
          </w:p>
        </w:tc>
      </w:tr>
      <w:tr w:rsidR="009F3399" w:rsidRPr="00BE372A" w:rsidTr="00D177F2">
        <w:trPr>
          <w:cantSplit/>
          <w:trHeight w:val="157"/>
        </w:trPr>
        <w:tc>
          <w:tcPr>
            <w:tcW w:w="836" w:type="dxa"/>
            <w:vMerge/>
            <w:tcBorders>
              <w:top w:val="single" w:sz="8" w:space="0" w:color="152935"/>
              <w:left w:val="nil"/>
              <w:bottom w:val="single" w:sz="8" w:space="0" w:color="152935"/>
              <w:right w:val="nil"/>
            </w:tcBorders>
            <w:shd w:val="clear" w:color="auto" w:fill="E0E0E0"/>
          </w:tcPr>
          <w:p w:rsidR="009F3399" w:rsidRPr="00BE372A" w:rsidRDefault="009F3399" w:rsidP="00D177F2">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9F3399" w:rsidRPr="00BE372A" w:rsidRDefault="009F3399" w:rsidP="00D177F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ORIGINAL</w:t>
            </w:r>
          </w:p>
        </w:tc>
        <w:tc>
          <w:tcPr>
            <w:tcW w:w="990" w:type="dxa"/>
            <w:tcBorders>
              <w:top w:val="single" w:sz="8" w:space="0" w:color="AEAEAE"/>
              <w:left w:val="nil"/>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-.627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.213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.534</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.352</w:t>
            </w:r>
          </w:p>
        </w:tc>
        <w:tc>
          <w:tcPr>
            <w:tcW w:w="936" w:type="dxa"/>
            <w:tcBorders>
              <w:top w:val="single" w:sz="8" w:space="0" w:color="AEAEAE"/>
              <w:left w:val="single" w:sz="8" w:space="0" w:color="E0E0E0"/>
              <w:bottom w:val="single" w:sz="8" w:space="0" w:color="AEAEAE"/>
              <w:right w:val="nil"/>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.811</w:t>
            </w:r>
          </w:p>
        </w:tc>
      </w:tr>
      <w:tr w:rsidR="009F3399" w:rsidRPr="00BE372A" w:rsidTr="00D177F2">
        <w:trPr>
          <w:cantSplit/>
          <w:trHeight w:val="157"/>
        </w:trPr>
        <w:tc>
          <w:tcPr>
            <w:tcW w:w="836" w:type="dxa"/>
            <w:vMerge/>
            <w:tcBorders>
              <w:top w:val="single" w:sz="8" w:space="0" w:color="152935"/>
              <w:left w:val="nil"/>
              <w:bottom w:val="single" w:sz="8" w:space="0" w:color="152935"/>
              <w:right w:val="nil"/>
            </w:tcBorders>
            <w:shd w:val="clear" w:color="auto" w:fill="E0E0E0"/>
          </w:tcPr>
          <w:p w:rsidR="009F3399" w:rsidRPr="00BE372A" w:rsidRDefault="009F3399" w:rsidP="00D177F2">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152935"/>
              <w:right w:val="nil"/>
            </w:tcBorders>
            <w:shd w:val="clear" w:color="auto" w:fill="E0E0E0"/>
          </w:tcPr>
          <w:p w:rsidR="009F3399" w:rsidRPr="00BE372A" w:rsidRDefault="009F3399" w:rsidP="00D177F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Constant</w:t>
            </w:r>
          </w:p>
        </w:tc>
        <w:tc>
          <w:tcPr>
            <w:tcW w:w="990" w:type="dxa"/>
            <w:tcBorders>
              <w:top w:val="single" w:sz="8" w:space="0" w:color="AEAEAE"/>
              <w:left w:val="nil"/>
              <w:bottom w:val="single" w:sz="8" w:space="0" w:color="152935"/>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1054.771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113.408</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86.502</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w:t>
            </w:r>
          </w:p>
        </w:tc>
        <w:tc>
          <w:tcPr>
            <w:tcW w:w="93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F3399" w:rsidRPr="00BE372A" w:rsidRDefault="009F3399" w:rsidP="00D177F2">
            <w:pPr>
              <w:autoSpaceDE w:val="0"/>
              <w:autoSpaceDN w:val="0"/>
              <w:adjustRightInd w:val="0"/>
              <w:spacing w:after="0" w:line="240" w:lineRule="auto"/>
              <w:rPr>
                <w:rFonts w:ascii="Times New Roman" w:hAnsi="Times New Roman" w:cs="Times New Roman"/>
                <w:sz w:val="24"/>
                <w:szCs w:val="24"/>
              </w:rPr>
            </w:pPr>
          </w:p>
        </w:tc>
        <w:tc>
          <w:tcPr>
            <w:tcW w:w="936" w:type="dxa"/>
            <w:tcBorders>
              <w:top w:val="single" w:sz="8" w:space="0" w:color="AEAEAE"/>
              <w:left w:val="single" w:sz="8" w:space="0" w:color="E0E0E0"/>
              <w:bottom w:val="single" w:sz="8" w:space="0" w:color="152935"/>
              <w:right w:val="nil"/>
            </w:tcBorders>
            <w:shd w:val="clear" w:color="auto" w:fill="FFFFFF"/>
            <w:vAlign w:val="center"/>
          </w:tcPr>
          <w:p w:rsidR="009F3399" w:rsidRPr="00BE372A" w:rsidRDefault="009F3399" w:rsidP="00D177F2">
            <w:pPr>
              <w:autoSpaceDE w:val="0"/>
              <w:autoSpaceDN w:val="0"/>
              <w:adjustRightInd w:val="0"/>
              <w:spacing w:after="0" w:line="240" w:lineRule="auto"/>
              <w:rPr>
                <w:rFonts w:ascii="Times New Roman" w:hAnsi="Times New Roman" w:cs="Times New Roman"/>
                <w:sz w:val="24"/>
                <w:szCs w:val="24"/>
              </w:rPr>
            </w:pPr>
          </w:p>
        </w:tc>
      </w:tr>
      <w:tr w:rsidR="009F3399" w:rsidRPr="00BE372A" w:rsidTr="00D177F2">
        <w:trPr>
          <w:cantSplit/>
          <w:trHeight w:val="356"/>
        </w:trPr>
        <w:tc>
          <w:tcPr>
            <w:tcW w:w="9421" w:type="dxa"/>
            <w:gridSpan w:val="10"/>
            <w:tcBorders>
              <w:top w:val="nil"/>
              <w:left w:val="nil"/>
              <w:bottom w:val="nil"/>
              <w:right w:val="nil"/>
            </w:tcBorders>
            <w:shd w:val="clear" w:color="auto" w:fill="FFFFFF"/>
          </w:tcPr>
          <w:p w:rsidR="009F3399" w:rsidRPr="00BE372A" w:rsidRDefault="009F3399" w:rsidP="00D177F2">
            <w:pPr>
              <w:autoSpaceDE w:val="0"/>
              <w:autoSpaceDN w:val="0"/>
              <w:adjustRightInd w:val="0"/>
              <w:spacing w:after="0" w:line="320" w:lineRule="atLeast"/>
              <w:ind w:left="60" w:right="60"/>
              <w:rPr>
                <w:rFonts w:ascii="Arial" w:hAnsi="Arial" w:cs="Arial"/>
                <w:color w:val="010205"/>
                <w:sz w:val="18"/>
                <w:szCs w:val="18"/>
              </w:rPr>
            </w:pPr>
            <w:r w:rsidRPr="00BE372A">
              <w:rPr>
                <w:rFonts w:ascii="Arial" w:hAnsi="Arial" w:cs="Arial"/>
                <w:color w:val="010205"/>
                <w:sz w:val="18"/>
                <w:szCs w:val="18"/>
              </w:rPr>
              <w:t>a. Variable(s) entered on step 1: CLAIMS, GYEAR, GENERAL, ORIGINAL.</w:t>
            </w:r>
          </w:p>
        </w:tc>
      </w:tr>
    </w:tbl>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9F3399"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2</w:t>
      </w:r>
    </w:p>
    <w:p w:rsidR="009F3399" w:rsidRPr="00745555" w:rsidRDefault="009F3399"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Omnibus Test of Model Coefficients</w:t>
      </w:r>
    </w:p>
    <w:tbl>
      <w:tblPr>
        <w:tblW w:w="4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5"/>
        <w:gridCol w:w="796"/>
        <w:gridCol w:w="1239"/>
        <w:gridCol w:w="1025"/>
        <w:gridCol w:w="1025"/>
      </w:tblGrid>
      <w:tr w:rsidR="009F3399" w:rsidRPr="00745555" w:rsidTr="00D177F2">
        <w:trPr>
          <w:cantSplit/>
        </w:trPr>
        <w:tc>
          <w:tcPr>
            <w:tcW w:w="1621" w:type="dxa"/>
            <w:gridSpan w:val="2"/>
            <w:tcBorders>
              <w:top w:val="nil"/>
              <w:left w:val="nil"/>
              <w:bottom w:val="single" w:sz="8" w:space="0" w:color="152935"/>
              <w:right w:val="nil"/>
            </w:tcBorders>
            <w:shd w:val="clear" w:color="auto" w:fill="FFFFFF"/>
            <w:vAlign w:val="bottom"/>
          </w:tcPr>
          <w:p w:rsidR="009F3399" w:rsidRPr="00745555" w:rsidRDefault="009F3399" w:rsidP="00D177F2">
            <w:pPr>
              <w:autoSpaceDE w:val="0"/>
              <w:autoSpaceDN w:val="0"/>
              <w:adjustRightInd w:val="0"/>
              <w:spacing w:after="0" w:line="240" w:lineRule="auto"/>
              <w:rPr>
                <w:rFonts w:ascii="Times New Roman" w:hAnsi="Times New Roman" w:cs="Times New Roman"/>
                <w:sz w:val="24"/>
                <w:szCs w:val="24"/>
              </w:rPr>
            </w:pPr>
          </w:p>
        </w:tc>
        <w:tc>
          <w:tcPr>
            <w:tcW w:w="1239" w:type="dxa"/>
            <w:tcBorders>
              <w:top w:val="nil"/>
              <w:left w:val="nil"/>
              <w:bottom w:val="single" w:sz="8" w:space="0" w:color="152935"/>
              <w:right w:val="single" w:sz="8" w:space="0" w:color="E0E0E0"/>
            </w:tcBorders>
            <w:shd w:val="clear" w:color="auto" w:fill="FFFFFF"/>
            <w:vAlign w:val="bottom"/>
          </w:tcPr>
          <w:p w:rsidR="009F3399" w:rsidRPr="00745555"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9F3399" w:rsidRPr="00745555"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45555">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9F3399" w:rsidRPr="00745555"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Sig.</w:t>
            </w:r>
          </w:p>
        </w:tc>
      </w:tr>
      <w:tr w:rsidR="009F3399" w:rsidRPr="00745555" w:rsidTr="00D177F2">
        <w:trPr>
          <w:cantSplit/>
        </w:trPr>
        <w:tc>
          <w:tcPr>
            <w:tcW w:w="825" w:type="dxa"/>
            <w:vMerge w:val="restart"/>
            <w:tcBorders>
              <w:top w:val="single" w:sz="8" w:space="0" w:color="152935"/>
              <w:left w:val="nil"/>
              <w:bottom w:val="single" w:sz="8" w:space="0" w:color="152935"/>
              <w:right w:val="nil"/>
            </w:tcBorders>
            <w:shd w:val="clear" w:color="auto" w:fill="E0E0E0"/>
          </w:tcPr>
          <w:p w:rsidR="009F3399" w:rsidRPr="00745555" w:rsidRDefault="009F3399" w:rsidP="00D177F2">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 1</w:t>
            </w:r>
          </w:p>
        </w:tc>
        <w:tc>
          <w:tcPr>
            <w:tcW w:w="796" w:type="dxa"/>
            <w:tcBorders>
              <w:top w:val="single" w:sz="8" w:space="0" w:color="152935"/>
              <w:left w:val="nil"/>
              <w:bottom w:val="single" w:sz="8" w:space="0" w:color="AEAEAE"/>
              <w:right w:val="nil"/>
            </w:tcBorders>
            <w:shd w:val="clear" w:color="auto" w:fill="E0E0E0"/>
          </w:tcPr>
          <w:p w:rsidR="009F3399" w:rsidRPr="00745555" w:rsidRDefault="009F3399" w:rsidP="00D177F2">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w:t>
            </w:r>
          </w:p>
        </w:tc>
        <w:tc>
          <w:tcPr>
            <w:tcW w:w="1239" w:type="dxa"/>
            <w:tcBorders>
              <w:top w:val="single" w:sz="8" w:space="0" w:color="152935"/>
              <w:left w:val="nil"/>
              <w:bottom w:val="single" w:sz="8" w:space="0" w:color="AEAEAE"/>
              <w:right w:val="single" w:sz="8" w:space="0" w:color="E0E0E0"/>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152935"/>
              <w:left w:val="single" w:sz="8" w:space="0" w:color="E0E0E0"/>
              <w:bottom w:val="single" w:sz="8" w:space="0" w:color="AEAEAE"/>
              <w:right w:val="nil"/>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9F3399" w:rsidRPr="00745555" w:rsidTr="00D177F2">
        <w:trPr>
          <w:cantSplit/>
        </w:trPr>
        <w:tc>
          <w:tcPr>
            <w:tcW w:w="825" w:type="dxa"/>
            <w:vMerge/>
            <w:tcBorders>
              <w:top w:val="single" w:sz="8" w:space="0" w:color="152935"/>
              <w:left w:val="nil"/>
              <w:bottom w:val="single" w:sz="8" w:space="0" w:color="152935"/>
              <w:right w:val="nil"/>
            </w:tcBorders>
            <w:shd w:val="clear" w:color="auto" w:fill="E0E0E0"/>
          </w:tcPr>
          <w:p w:rsidR="009F3399" w:rsidRPr="00745555" w:rsidRDefault="009F3399" w:rsidP="00D177F2">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AEAEAE"/>
              <w:right w:val="nil"/>
            </w:tcBorders>
            <w:shd w:val="clear" w:color="auto" w:fill="E0E0E0"/>
          </w:tcPr>
          <w:p w:rsidR="009F3399" w:rsidRPr="00745555" w:rsidRDefault="009F3399" w:rsidP="00D177F2">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Block</w:t>
            </w:r>
          </w:p>
        </w:tc>
        <w:tc>
          <w:tcPr>
            <w:tcW w:w="1239" w:type="dxa"/>
            <w:tcBorders>
              <w:top w:val="single" w:sz="8" w:space="0" w:color="AEAEAE"/>
              <w:left w:val="nil"/>
              <w:bottom w:val="single" w:sz="8" w:space="0" w:color="AEAEAE"/>
              <w:right w:val="single" w:sz="8" w:space="0" w:color="E0E0E0"/>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AEAEAE"/>
              <w:right w:val="nil"/>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9F3399" w:rsidRPr="00745555" w:rsidTr="00D177F2">
        <w:trPr>
          <w:cantSplit/>
        </w:trPr>
        <w:tc>
          <w:tcPr>
            <w:tcW w:w="825" w:type="dxa"/>
            <w:vMerge/>
            <w:tcBorders>
              <w:top w:val="single" w:sz="8" w:space="0" w:color="152935"/>
              <w:left w:val="nil"/>
              <w:bottom w:val="single" w:sz="8" w:space="0" w:color="152935"/>
              <w:right w:val="nil"/>
            </w:tcBorders>
            <w:shd w:val="clear" w:color="auto" w:fill="E0E0E0"/>
          </w:tcPr>
          <w:p w:rsidR="009F3399" w:rsidRPr="00745555" w:rsidRDefault="009F3399" w:rsidP="00D177F2">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152935"/>
              <w:right w:val="nil"/>
            </w:tcBorders>
            <w:shd w:val="clear" w:color="auto" w:fill="E0E0E0"/>
          </w:tcPr>
          <w:p w:rsidR="009F3399" w:rsidRPr="00745555" w:rsidRDefault="009F3399" w:rsidP="00D177F2">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Model</w:t>
            </w:r>
          </w:p>
        </w:tc>
        <w:tc>
          <w:tcPr>
            <w:tcW w:w="1239" w:type="dxa"/>
            <w:tcBorders>
              <w:top w:val="single" w:sz="8" w:space="0" w:color="AEAEAE"/>
              <w:left w:val="nil"/>
              <w:bottom w:val="single" w:sz="8" w:space="0" w:color="152935"/>
              <w:right w:val="single" w:sz="8" w:space="0" w:color="E0E0E0"/>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152935"/>
              <w:right w:val="nil"/>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bl>
    <w:p w:rsidR="009F3399" w:rsidRDefault="009F3399" w:rsidP="009F3399">
      <w:pPr>
        <w:spacing w:after="0" w:line="480" w:lineRule="auto"/>
        <w:rPr>
          <w:rFonts w:ascii="Times New Roman" w:hAnsi="Times New Roman" w:cs="Times New Roman"/>
          <w:sz w:val="24"/>
          <w:szCs w:val="24"/>
        </w:rPr>
      </w:pPr>
    </w:p>
    <w:p w:rsidR="009F3399"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9F3399" w:rsidRPr="00AF3007"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Model Summary</w:t>
      </w: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9F3399" w:rsidRPr="00AF3007" w:rsidTr="00D177F2">
        <w:trPr>
          <w:cantSplit/>
        </w:trPr>
        <w:tc>
          <w:tcPr>
            <w:tcW w:w="735" w:type="dxa"/>
            <w:tcBorders>
              <w:top w:val="nil"/>
              <w:left w:val="nil"/>
              <w:bottom w:val="single" w:sz="8" w:space="0" w:color="152935"/>
              <w:right w:val="nil"/>
            </w:tcBorders>
            <w:shd w:val="clear" w:color="auto" w:fill="FFFFFF"/>
            <w:vAlign w:val="bottom"/>
          </w:tcPr>
          <w:p w:rsidR="009F3399" w:rsidRPr="00AF3007" w:rsidRDefault="009F3399" w:rsidP="00D177F2">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Step</w:t>
            </w:r>
          </w:p>
        </w:tc>
        <w:tc>
          <w:tcPr>
            <w:tcW w:w="1468" w:type="dxa"/>
            <w:tcBorders>
              <w:top w:val="nil"/>
              <w:left w:val="nil"/>
              <w:bottom w:val="single" w:sz="8" w:space="0" w:color="152935"/>
              <w:right w:val="single" w:sz="8" w:space="0" w:color="E0E0E0"/>
            </w:tcBorders>
            <w:shd w:val="clear" w:color="auto" w:fill="FFFFFF"/>
            <w:vAlign w:val="bottom"/>
          </w:tcPr>
          <w:p w:rsidR="009F3399" w:rsidRPr="00AF3007"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-2 Log likelihood</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9F3399" w:rsidRPr="00AF3007"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Cox &amp; Snell R Square</w:t>
            </w:r>
          </w:p>
        </w:tc>
        <w:tc>
          <w:tcPr>
            <w:tcW w:w="1468" w:type="dxa"/>
            <w:tcBorders>
              <w:top w:val="nil"/>
              <w:left w:val="single" w:sz="8" w:space="0" w:color="E0E0E0"/>
              <w:bottom w:val="single" w:sz="8" w:space="0" w:color="152935"/>
              <w:right w:val="nil"/>
            </w:tcBorders>
            <w:shd w:val="clear" w:color="auto" w:fill="FFFFFF"/>
            <w:vAlign w:val="bottom"/>
          </w:tcPr>
          <w:p w:rsidR="009F3399" w:rsidRPr="00AF3007"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F3007">
              <w:rPr>
                <w:rFonts w:ascii="Arial" w:hAnsi="Arial" w:cs="Arial"/>
                <w:color w:val="264A60"/>
                <w:sz w:val="18"/>
                <w:szCs w:val="18"/>
              </w:rPr>
              <w:t>Nagelkerke</w:t>
            </w:r>
            <w:proofErr w:type="spellEnd"/>
            <w:r w:rsidRPr="00AF3007">
              <w:rPr>
                <w:rFonts w:ascii="Arial" w:hAnsi="Arial" w:cs="Arial"/>
                <w:color w:val="264A60"/>
                <w:sz w:val="18"/>
                <w:szCs w:val="18"/>
              </w:rPr>
              <w:t xml:space="preserve"> R Square</w:t>
            </w:r>
          </w:p>
        </w:tc>
      </w:tr>
      <w:tr w:rsidR="009F3399" w:rsidRPr="00AF3007" w:rsidTr="00D177F2">
        <w:trPr>
          <w:cantSplit/>
        </w:trPr>
        <w:tc>
          <w:tcPr>
            <w:tcW w:w="735" w:type="dxa"/>
            <w:tcBorders>
              <w:top w:val="single" w:sz="8" w:space="0" w:color="152935"/>
              <w:left w:val="nil"/>
              <w:bottom w:val="single" w:sz="8" w:space="0" w:color="152935"/>
              <w:right w:val="nil"/>
            </w:tcBorders>
            <w:shd w:val="clear" w:color="auto" w:fill="E0E0E0"/>
          </w:tcPr>
          <w:p w:rsidR="009F3399" w:rsidRPr="00AF3007" w:rsidRDefault="009F3399" w:rsidP="00D177F2">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1</w:t>
            </w:r>
          </w:p>
        </w:tc>
        <w:tc>
          <w:tcPr>
            <w:tcW w:w="1468" w:type="dxa"/>
            <w:tcBorders>
              <w:top w:val="single" w:sz="8" w:space="0" w:color="152935"/>
              <w:left w:val="nil"/>
              <w:bottom w:val="single" w:sz="8" w:space="0" w:color="152935"/>
              <w:right w:val="single" w:sz="8" w:space="0" w:color="E0E0E0"/>
            </w:tcBorders>
            <w:shd w:val="clear" w:color="auto" w:fill="FFFFFF"/>
          </w:tcPr>
          <w:p w:rsidR="009F3399" w:rsidRPr="00AF3007"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1906.867</w:t>
            </w:r>
            <w:r w:rsidRPr="00AF3007">
              <w:rPr>
                <w:rFonts w:ascii="Arial" w:hAnsi="Arial" w:cs="Arial"/>
                <w:color w:val="010205"/>
                <w:sz w:val="18"/>
                <w:szCs w:val="18"/>
                <w:vertAlign w:val="superscript"/>
              </w:rPr>
              <w:t>a</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9F3399" w:rsidRPr="00AF3007"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.306</w:t>
            </w:r>
          </w:p>
        </w:tc>
        <w:tc>
          <w:tcPr>
            <w:tcW w:w="1468" w:type="dxa"/>
            <w:tcBorders>
              <w:top w:val="single" w:sz="8" w:space="0" w:color="152935"/>
              <w:left w:val="single" w:sz="8" w:space="0" w:color="E0E0E0"/>
              <w:bottom w:val="single" w:sz="8" w:space="0" w:color="152935"/>
              <w:right w:val="nil"/>
            </w:tcBorders>
            <w:shd w:val="clear" w:color="auto" w:fill="FFFFFF"/>
          </w:tcPr>
          <w:p w:rsidR="009F3399" w:rsidRPr="00AF3007"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.415</w:t>
            </w:r>
          </w:p>
        </w:tc>
      </w:tr>
      <w:tr w:rsidR="009F3399" w:rsidRPr="00AF3007" w:rsidTr="00D177F2">
        <w:trPr>
          <w:cantSplit/>
        </w:trPr>
        <w:tc>
          <w:tcPr>
            <w:tcW w:w="5139" w:type="dxa"/>
            <w:gridSpan w:val="4"/>
            <w:tcBorders>
              <w:top w:val="nil"/>
              <w:left w:val="nil"/>
              <w:bottom w:val="nil"/>
              <w:right w:val="nil"/>
            </w:tcBorders>
            <w:shd w:val="clear" w:color="auto" w:fill="FFFFFF"/>
          </w:tcPr>
          <w:p w:rsidR="009F3399" w:rsidRPr="00AF3007" w:rsidRDefault="009F3399" w:rsidP="00D177F2">
            <w:pPr>
              <w:autoSpaceDE w:val="0"/>
              <w:autoSpaceDN w:val="0"/>
              <w:adjustRightInd w:val="0"/>
              <w:spacing w:after="0" w:line="320" w:lineRule="atLeast"/>
              <w:ind w:left="60" w:right="60"/>
              <w:rPr>
                <w:rFonts w:ascii="Arial" w:hAnsi="Arial" w:cs="Arial"/>
                <w:color w:val="010205"/>
                <w:sz w:val="18"/>
                <w:szCs w:val="18"/>
              </w:rPr>
            </w:pPr>
            <w:r w:rsidRPr="00AF3007">
              <w:rPr>
                <w:rFonts w:ascii="Arial" w:hAnsi="Arial" w:cs="Arial"/>
                <w:color w:val="010205"/>
                <w:sz w:val="18"/>
                <w:szCs w:val="18"/>
              </w:rPr>
              <w:lastRenderedPageBreak/>
              <w:t>a. Estimation terminated at iteration number 6 because parameter estimates changed by less than .001.</w:t>
            </w:r>
          </w:p>
        </w:tc>
      </w:tr>
    </w:tbl>
    <w:p w:rsidR="009F3399" w:rsidRDefault="009F339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p w:rsidR="009F3399" w:rsidRPr="004A2BFE"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40"/>
        <w:gridCol w:w="1025"/>
        <w:gridCol w:w="1025"/>
      </w:tblGrid>
      <w:tr w:rsidR="009F3399" w:rsidRPr="004A2BFE" w:rsidTr="00D177F2">
        <w:trPr>
          <w:cantSplit/>
        </w:trPr>
        <w:tc>
          <w:tcPr>
            <w:tcW w:w="733" w:type="dxa"/>
            <w:tcBorders>
              <w:top w:val="nil"/>
              <w:left w:val="nil"/>
              <w:bottom w:val="single" w:sz="8" w:space="0" w:color="152935"/>
              <w:right w:val="nil"/>
            </w:tcBorders>
            <w:shd w:val="clear" w:color="auto" w:fill="FFFFFF"/>
            <w:vAlign w:val="bottom"/>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w:t>
            </w:r>
          </w:p>
        </w:tc>
        <w:tc>
          <w:tcPr>
            <w:tcW w:w="1240" w:type="dxa"/>
            <w:tcBorders>
              <w:top w:val="nil"/>
              <w:left w:val="nil"/>
              <w:bottom w:val="single" w:sz="8" w:space="0" w:color="152935"/>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4A2BFE">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Sig.</w:t>
            </w:r>
          </w:p>
        </w:tc>
      </w:tr>
      <w:tr w:rsidR="009F3399" w:rsidRPr="004A2BFE" w:rsidTr="00D177F2">
        <w:trPr>
          <w:cantSplit/>
        </w:trPr>
        <w:tc>
          <w:tcPr>
            <w:tcW w:w="733" w:type="dxa"/>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240" w:type="dxa"/>
            <w:tcBorders>
              <w:top w:val="single" w:sz="8" w:space="0" w:color="152935"/>
              <w:left w:val="nil"/>
              <w:bottom w:val="single" w:sz="8" w:space="0" w:color="152935"/>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23.671</w:t>
            </w:r>
          </w:p>
        </w:tc>
        <w:tc>
          <w:tcPr>
            <w:tcW w:w="1025" w:type="dxa"/>
            <w:tcBorders>
              <w:top w:val="single" w:sz="8" w:space="0" w:color="152935"/>
              <w:left w:val="single" w:sz="8" w:space="0" w:color="E0E0E0"/>
              <w:bottom w:val="single" w:sz="8" w:space="0" w:color="152935"/>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8</w:t>
            </w:r>
          </w:p>
        </w:tc>
        <w:tc>
          <w:tcPr>
            <w:tcW w:w="1025" w:type="dxa"/>
            <w:tcBorders>
              <w:top w:val="single" w:sz="8" w:space="0" w:color="152935"/>
              <w:left w:val="single" w:sz="8" w:space="0" w:color="E0E0E0"/>
              <w:bottom w:val="single" w:sz="8" w:space="0" w:color="152935"/>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.003</w:t>
            </w:r>
          </w:p>
        </w:tc>
      </w:tr>
    </w:tbl>
    <w:p w:rsidR="009F3399" w:rsidRPr="004A2BFE" w:rsidRDefault="009F3399" w:rsidP="009F3399">
      <w:pPr>
        <w:autoSpaceDE w:val="0"/>
        <w:autoSpaceDN w:val="0"/>
        <w:adjustRightInd w:val="0"/>
        <w:spacing w:after="0" w:line="400" w:lineRule="atLeast"/>
        <w:rPr>
          <w:rFonts w:ascii="Times New Roman" w:hAnsi="Times New Roman" w:cs="Times New Roman"/>
          <w:sz w:val="24"/>
          <w:szCs w:val="24"/>
        </w:rPr>
      </w:pPr>
    </w:p>
    <w:p w:rsidR="009F3399"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9F3399" w:rsidRPr="004A2BFE"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Contingency Table for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735"/>
        <w:gridCol w:w="1102"/>
        <w:gridCol w:w="1055"/>
        <w:gridCol w:w="1101"/>
        <w:gridCol w:w="1055"/>
        <w:gridCol w:w="1024"/>
      </w:tblGrid>
      <w:tr w:rsidR="009F3399" w:rsidRPr="004A2BFE" w:rsidTr="00D177F2">
        <w:trPr>
          <w:cantSplit/>
        </w:trPr>
        <w:tc>
          <w:tcPr>
            <w:tcW w:w="1562" w:type="dxa"/>
            <w:gridSpan w:val="2"/>
            <w:vMerge w:val="restart"/>
            <w:tcBorders>
              <w:top w:val="nil"/>
              <w:left w:val="nil"/>
              <w:bottom w:val="nil"/>
              <w:right w:val="nil"/>
            </w:tcBorders>
            <w:shd w:val="clear" w:color="auto" w:fill="FFFFFF"/>
            <w:vAlign w:val="bottom"/>
          </w:tcPr>
          <w:p w:rsidR="009F3399" w:rsidRPr="004A2BFE" w:rsidRDefault="009F3399" w:rsidP="00D177F2">
            <w:pPr>
              <w:autoSpaceDE w:val="0"/>
              <w:autoSpaceDN w:val="0"/>
              <w:adjustRightInd w:val="0"/>
              <w:spacing w:after="0" w:line="240" w:lineRule="auto"/>
              <w:rPr>
                <w:rFonts w:ascii="Times New Roman" w:hAnsi="Times New Roman" w:cs="Times New Roman"/>
                <w:sz w:val="24"/>
                <w:szCs w:val="24"/>
              </w:rPr>
            </w:pPr>
          </w:p>
        </w:tc>
        <w:tc>
          <w:tcPr>
            <w:tcW w:w="2157" w:type="dxa"/>
            <w:gridSpan w:val="2"/>
            <w:tcBorders>
              <w:top w:val="nil"/>
              <w:left w:val="nil"/>
              <w:bottom w:val="nil"/>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1.00</w:t>
            </w:r>
          </w:p>
        </w:tc>
        <w:tc>
          <w:tcPr>
            <w:tcW w:w="2156" w:type="dxa"/>
            <w:gridSpan w:val="2"/>
            <w:tcBorders>
              <w:top w:val="nil"/>
              <w:left w:val="single" w:sz="8" w:space="0" w:color="E0E0E0"/>
              <w:bottom w:val="nil"/>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2.00</w:t>
            </w:r>
          </w:p>
        </w:tc>
        <w:tc>
          <w:tcPr>
            <w:tcW w:w="1024" w:type="dxa"/>
            <w:vMerge w:val="restart"/>
            <w:tcBorders>
              <w:top w:val="nil"/>
              <w:left w:val="single" w:sz="8" w:space="0" w:color="E0E0E0"/>
              <w:bottom w:val="nil"/>
              <w:right w:val="nil"/>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Total</w:t>
            </w:r>
          </w:p>
        </w:tc>
      </w:tr>
      <w:tr w:rsidR="009F3399" w:rsidRPr="004A2BFE" w:rsidTr="00D177F2">
        <w:trPr>
          <w:cantSplit/>
        </w:trPr>
        <w:tc>
          <w:tcPr>
            <w:tcW w:w="1562" w:type="dxa"/>
            <w:gridSpan w:val="2"/>
            <w:vMerge/>
            <w:tcBorders>
              <w:top w:val="nil"/>
              <w:left w:val="nil"/>
              <w:bottom w:val="nil"/>
              <w:right w:val="nil"/>
            </w:tcBorders>
            <w:shd w:val="clear" w:color="auto" w:fill="FFFFFF"/>
            <w:vAlign w:val="bottom"/>
          </w:tcPr>
          <w:p w:rsidR="009F3399" w:rsidRPr="004A2BFE" w:rsidRDefault="009F3399" w:rsidP="00D177F2">
            <w:pPr>
              <w:autoSpaceDE w:val="0"/>
              <w:autoSpaceDN w:val="0"/>
              <w:adjustRightInd w:val="0"/>
              <w:spacing w:after="0" w:line="240" w:lineRule="auto"/>
              <w:rPr>
                <w:rFonts w:ascii="Arial" w:hAnsi="Arial" w:cs="Arial"/>
                <w:color w:val="264A60"/>
                <w:sz w:val="18"/>
                <w:szCs w:val="18"/>
              </w:rPr>
            </w:pPr>
          </w:p>
        </w:tc>
        <w:tc>
          <w:tcPr>
            <w:tcW w:w="1102" w:type="dxa"/>
            <w:tcBorders>
              <w:top w:val="nil"/>
              <w:left w:val="nil"/>
              <w:bottom w:val="single" w:sz="8" w:space="0" w:color="152935"/>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101" w:type="dxa"/>
            <w:tcBorders>
              <w:top w:val="nil"/>
              <w:left w:val="single" w:sz="8" w:space="0" w:color="E0E0E0"/>
              <w:bottom w:val="single" w:sz="8" w:space="0" w:color="152935"/>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024" w:type="dxa"/>
            <w:vMerge/>
            <w:tcBorders>
              <w:top w:val="nil"/>
              <w:left w:val="single" w:sz="8" w:space="0" w:color="E0E0E0"/>
              <w:bottom w:val="nil"/>
              <w:right w:val="nil"/>
            </w:tcBorders>
            <w:shd w:val="clear" w:color="auto" w:fill="FFFFFF"/>
            <w:vAlign w:val="bottom"/>
          </w:tcPr>
          <w:p w:rsidR="009F3399" w:rsidRPr="004A2BFE" w:rsidRDefault="009F3399" w:rsidP="00D177F2">
            <w:pPr>
              <w:autoSpaceDE w:val="0"/>
              <w:autoSpaceDN w:val="0"/>
              <w:adjustRightInd w:val="0"/>
              <w:spacing w:after="0" w:line="240" w:lineRule="auto"/>
              <w:rPr>
                <w:rFonts w:ascii="Arial" w:hAnsi="Arial" w:cs="Arial"/>
                <w:color w:val="264A60"/>
                <w:sz w:val="18"/>
                <w:szCs w:val="18"/>
              </w:rPr>
            </w:pPr>
          </w:p>
        </w:tc>
      </w:tr>
      <w:tr w:rsidR="009F3399" w:rsidRPr="004A2BFE" w:rsidTr="00D177F2">
        <w:trPr>
          <w:cantSplit/>
        </w:trPr>
        <w:tc>
          <w:tcPr>
            <w:tcW w:w="827" w:type="dxa"/>
            <w:vMerge w:val="restart"/>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 1</w:t>
            </w:r>
          </w:p>
        </w:tc>
        <w:tc>
          <w:tcPr>
            <w:tcW w:w="735" w:type="dxa"/>
            <w:tcBorders>
              <w:top w:val="single" w:sz="8" w:space="0" w:color="152935"/>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102" w:type="dxa"/>
            <w:tcBorders>
              <w:top w:val="single" w:sz="8" w:space="0" w:color="152935"/>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181.295</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14.705</w:t>
            </w:r>
          </w:p>
        </w:tc>
        <w:tc>
          <w:tcPr>
            <w:tcW w:w="1024" w:type="dxa"/>
            <w:tcBorders>
              <w:top w:val="single" w:sz="8" w:space="0" w:color="152935"/>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2</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175.199</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20.801</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3</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168.176</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27.824</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4</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159.520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36.480</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5</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148.155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47.845</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6</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133.784</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62.216</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7</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74</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100.801</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122</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95.199</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8</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64.895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131.105</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9</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55</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43.237</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141</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152.763</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10</w:t>
            </w:r>
          </w:p>
        </w:tc>
        <w:tc>
          <w:tcPr>
            <w:tcW w:w="1102" w:type="dxa"/>
            <w:tcBorders>
              <w:top w:val="single" w:sz="8" w:space="0" w:color="AEAEAE"/>
              <w:left w:val="nil"/>
              <w:bottom w:val="single" w:sz="8" w:space="0" w:color="152935"/>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25</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22.938</w:t>
            </w:r>
          </w:p>
        </w:tc>
        <w:tc>
          <w:tcPr>
            <w:tcW w:w="1101" w:type="dxa"/>
            <w:tcBorders>
              <w:top w:val="single" w:sz="8" w:space="0" w:color="AEAEAE"/>
              <w:left w:val="single" w:sz="8" w:space="0" w:color="E0E0E0"/>
              <w:bottom w:val="single" w:sz="8" w:space="0" w:color="152935"/>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173</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175.062</w:t>
            </w:r>
          </w:p>
        </w:tc>
        <w:tc>
          <w:tcPr>
            <w:tcW w:w="1024" w:type="dxa"/>
            <w:tcBorders>
              <w:top w:val="single" w:sz="8" w:space="0" w:color="AEAEAE"/>
              <w:left w:val="single" w:sz="8" w:space="0" w:color="E0E0E0"/>
              <w:bottom w:val="single" w:sz="8" w:space="0" w:color="152935"/>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198</w:t>
            </w:r>
          </w:p>
        </w:tc>
      </w:tr>
    </w:tbl>
    <w:p w:rsidR="009F3399" w:rsidRPr="0070304D" w:rsidRDefault="009F339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sectPr w:rsidR="009F3399" w:rsidRPr="0070304D"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F6A" w:rsidRDefault="00902F6A" w:rsidP="00ED3A93">
      <w:pPr>
        <w:spacing w:after="0" w:line="240" w:lineRule="auto"/>
      </w:pPr>
      <w:r>
        <w:separator/>
      </w:r>
    </w:p>
  </w:endnote>
  <w:endnote w:type="continuationSeparator" w:id="0">
    <w:p w:rsidR="00902F6A" w:rsidRDefault="00902F6A"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F6A" w:rsidRDefault="00902F6A" w:rsidP="00ED3A93">
      <w:pPr>
        <w:spacing w:after="0" w:line="240" w:lineRule="auto"/>
      </w:pPr>
      <w:r>
        <w:separator/>
      </w:r>
    </w:p>
  </w:footnote>
  <w:footnote w:type="continuationSeparator" w:id="0">
    <w:p w:rsidR="00902F6A" w:rsidRDefault="00902F6A"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F6A" w:rsidRPr="00ED3A93" w:rsidRDefault="00902F6A"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3609A8">
      <w:rPr>
        <w:rFonts w:ascii="Times New Roman" w:hAnsi="Times New Roman" w:cs="Times New Roman"/>
        <w:noProof/>
        <w:sz w:val="24"/>
      </w:rPr>
      <w:t>3</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F6A" w:rsidRPr="00ED3A93" w:rsidRDefault="00902F6A"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3609A8">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3023E"/>
    <w:rsid w:val="00030383"/>
    <w:rsid w:val="00043C5B"/>
    <w:rsid w:val="00050454"/>
    <w:rsid w:val="000510AA"/>
    <w:rsid w:val="000819E9"/>
    <w:rsid w:val="000837EA"/>
    <w:rsid w:val="00095EE1"/>
    <w:rsid w:val="000B4992"/>
    <w:rsid w:val="000C2A0E"/>
    <w:rsid w:val="000D0F1F"/>
    <w:rsid w:val="000E4997"/>
    <w:rsid w:val="000F3B07"/>
    <w:rsid w:val="00107729"/>
    <w:rsid w:val="00121BA5"/>
    <w:rsid w:val="00135A7B"/>
    <w:rsid w:val="001418B7"/>
    <w:rsid w:val="00145FC5"/>
    <w:rsid w:val="00167167"/>
    <w:rsid w:val="00176833"/>
    <w:rsid w:val="00183221"/>
    <w:rsid w:val="001928A1"/>
    <w:rsid w:val="001A16FC"/>
    <w:rsid w:val="001C6060"/>
    <w:rsid w:val="001D6329"/>
    <w:rsid w:val="001F264D"/>
    <w:rsid w:val="00205B2C"/>
    <w:rsid w:val="00231217"/>
    <w:rsid w:val="00250EC3"/>
    <w:rsid w:val="00264174"/>
    <w:rsid w:val="00267CD3"/>
    <w:rsid w:val="002829D7"/>
    <w:rsid w:val="0028689B"/>
    <w:rsid w:val="00287689"/>
    <w:rsid w:val="002A0CBE"/>
    <w:rsid w:val="002B1431"/>
    <w:rsid w:val="002B2828"/>
    <w:rsid w:val="002B7C17"/>
    <w:rsid w:val="002F6471"/>
    <w:rsid w:val="002F7B59"/>
    <w:rsid w:val="00304149"/>
    <w:rsid w:val="0030442E"/>
    <w:rsid w:val="0031708C"/>
    <w:rsid w:val="00321890"/>
    <w:rsid w:val="003435C2"/>
    <w:rsid w:val="00347B6E"/>
    <w:rsid w:val="0035422A"/>
    <w:rsid w:val="003609A8"/>
    <w:rsid w:val="00362D86"/>
    <w:rsid w:val="00362FE5"/>
    <w:rsid w:val="00366F74"/>
    <w:rsid w:val="0039402D"/>
    <w:rsid w:val="00395942"/>
    <w:rsid w:val="003E0BF0"/>
    <w:rsid w:val="003E1969"/>
    <w:rsid w:val="003E6CE7"/>
    <w:rsid w:val="00435D1E"/>
    <w:rsid w:val="0044284E"/>
    <w:rsid w:val="00452D79"/>
    <w:rsid w:val="004642A8"/>
    <w:rsid w:val="00465009"/>
    <w:rsid w:val="00492BB0"/>
    <w:rsid w:val="004A2BFE"/>
    <w:rsid w:val="004D2674"/>
    <w:rsid w:val="004E7F37"/>
    <w:rsid w:val="00515BF4"/>
    <w:rsid w:val="00516C41"/>
    <w:rsid w:val="00522BED"/>
    <w:rsid w:val="00533F40"/>
    <w:rsid w:val="00535B27"/>
    <w:rsid w:val="00553249"/>
    <w:rsid w:val="00554A5F"/>
    <w:rsid w:val="00556E08"/>
    <w:rsid w:val="0058226B"/>
    <w:rsid w:val="00590F5F"/>
    <w:rsid w:val="0059137D"/>
    <w:rsid w:val="00591D73"/>
    <w:rsid w:val="00593778"/>
    <w:rsid w:val="005941BF"/>
    <w:rsid w:val="00594A44"/>
    <w:rsid w:val="00595F8C"/>
    <w:rsid w:val="005A46F1"/>
    <w:rsid w:val="005B60C8"/>
    <w:rsid w:val="005C3A1F"/>
    <w:rsid w:val="005D0825"/>
    <w:rsid w:val="005D3F04"/>
    <w:rsid w:val="005F5941"/>
    <w:rsid w:val="006108F2"/>
    <w:rsid w:val="00611638"/>
    <w:rsid w:val="006176B2"/>
    <w:rsid w:val="0063057F"/>
    <w:rsid w:val="006603D4"/>
    <w:rsid w:val="00661871"/>
    <w:rsid w:val="006720CB"/>
    <w:rsid w:val="00694596"/>
    <w:rsid w:val="006B104D"/>
    <w:rsid w:val="006C0768"/>
    <w:rsid w:val="006D0FE7"/>
    <w:rsid w:val="006D4A47"/>
    <w:rsid w:val="006E26EC"/>
    <w:rsid w:val="006F5D78"/>
    <w:rsid w:val="006F794F"/>
    <w:rsid w:val="0070304D"/>
    <w:rsid w:val="007030CA"/>
    <w:rsid w:val="00712F19"/>
    <w:rsid w:val="00745555"/>
    <w:rsid w:val="00753FA7"/>
    <w:rsid w:val="00755F3B"/>
    <w:rsid w:val="0077621E"/>
    <w:rsid w:val="00780AC5"/>
    <w:rsid w:val="00781FC8"/>
    <w:rsid w:val="00791766"/>
    <w:rsid w:val="007A15DA"/>
    <w:rsid w:val="007A1DC5"/>
    <w:rsid w:val="007A6FD9"/>
    <w:rsid w:val="007C6F82"/>
    <w:rsid w:val="007E6816"/>
    <w:rsid w:val="00811F0D"/>
    <w:rsid w:val="0082229D"/>
    <w:rsid w:val="00826F36"/>
    <w:rsid w:val="00834CA6"/>
    <w:rsid w:val="0084229F"/>
    <w:rsid w:val="00853D7F"/>
    <w:rsid w:val="00857A0E"/>
    <w:rsid w:val="00864D1B"/>
    <w:rsid w:val="00876656"/>
    <w:rsid w:val="008774F5"/>
    <w:rsid w:val="00882DC8"/>
    <w:rsid w:val="00885F39"/>
    <w:rsid w:val="00897975"/>
    <w:rsid w:val="008B0E48"/>
    <w:rsid w:val="008D0DFC"/>
    <w:rsid w:val="008E0001"/>
    <w:rsid w:val="008E0821"/>
    <w:rsid w:val="008E2B9A"/>
    <w:rsid w:val="008E6D11"/>
    <w:rsid w:val="00900C16"/>
    <w:rsid w:val="00902F6A"/>
    <w:rsid w:val="009059D6"/>
    <w:rsid w:val="009112B2"/>
    <w:rsid w:val="009171D5"/>
    <w:rsid w:val="00944360"/>
    <w:rsid w:val="0096042E"/>
    <w:rsid w:val="00974F5C"/>
    <w:rsid w:val="00993EDF"/>
    <w:rsid w:val="009A0387"/>
    <w:rsid w:val="009A5720"/>
    <w:rsid w:val="009C2122"/>
    <w:rsid w:val="009C33E3"/>
    <w:rsid w:val="009D12CE"/>
    <w:rsid w:val="009D2A67"/>
    <w:rsid w:val="009D4B6F"/>
    <w:rsid w:val="009E16F8"/>
    <w:rsid w:val="009E4EAD"/>
    <w:rsid w:val="009F3399"/>
    <w:rsid w:val="009F4C9E"/>
    <w:rsid w:val="009F6BCA"/>
    <w:rsid w:val="00A004E7"/>
    <w:rsid w:val="00A00544"/>
    <w:rsid w:val="00A07262"/>
    <w:rsid w:val="00A11C25"/>
    <w:rsid w:val="00A14AAF"/>
    <w:rsid w:val="00A22D7F"/>
    <w:rsid w:val="00A317C8"/>
    <w:rsid w:val="00A56D78"/>
    <w:rsid w:val="00A60A48"/>
    <w:rsid w:val="00A95B39"/>
    <w:rsid w:val="00AA78A5"/>
    <w:rsid w:val="00AB1AD8"/>
    <w:rsid w:val="00AB4934"/>
    <w:rsid w:val="00AC2C6F"/>
    <w:rsid w:val="00AD2CB2"/>
    <w:rsid w:val="00AD469C"/>
    <w:rsid w:val="00AE2F9F"/>
    <w:rsid w:val="00AF3007"/>
    <w:rsid w:val="00B108C4"/>
    <w:rsid w:val="00B13DC9"/>
    <w:rsid w:val="00B1423F"/>
    <w:rsid w:val="00B20B57"/>
    <w:rsid w:val="00B212F2"/>
    <w:rsid w:val="00B31A68"/>
    <w:rsid w:val="00B53472"/>
    <w:rsid w:val="00B55147"/>
    <w:rsid w:val="00B75648"/>
    <w:rsid w:val="00B77986"/>
    <w:rsid w:val="00B902A3"/>
    <w:rsid w:val="00BB30EF"/>
    <w:rsid w:val="00BB72F2"/>
    <w:rsid w:val="00BB7F88"/>
    <w:rsid w:val="00BC5DF9"/>
    <w:rsid w:val="00BD4077"/>
    <w:rsid w:val="00BE372A"/>
    <w:rsid w:val="00BE3E25"/>
    <w:rsid w:val="00C05481"/>
    <w:rsid w:val="00C05AC4"/>
    <w:rsid w:val="00C1307D"/>
    <w:rsid w:val="00C27E3C"/>
    <w:rsid w:val="00C30FC4"/>
    <w:rsid w:val="00C47E6E"/>
    <w:rsid w:val="00C61036"/>
    <w:rsid w:val="00C751B3"/>
    <w:rsid w:val="00C80754"/>
    <w:rsid w:val="00C816E9"/>
    <w:rsid w:val="00C84A5B"/>
    <w:rsid w:val="00C853DF"/>
    <w:rsid w:val="00CA20D7"/>
    <w:rsid w:val="00CC1A30"/>
    <w:rsid w:val="00CD2E27"/>
    <w:rsid w:val="00CD7A61"/>
    <w:rsid w:val="00CF721C"/>
    <w:rsid w:val="00D02FEA"/>
    <w:rsid w:val="00D127D6"/>
    <w:rsid w:val="00D1795C"/>
    <w:rsid w:val="00D226EC"/>
    <w:rsid w:val="00D24CDD"/>
    <w:rsid w:val="00D2614D"/>
    <w:rsid w:val="00D33AD0"/>
    <w:rsid w:val="00D34CAA"/>
    <w:rsid w:val="00D432EF"/>
    <w:rsid w:val="00D4639F"/>
    <w:rsid w:val="00D47073"/>
    <w:rsid w:val="00D6439B"/>
    <w:rsid w:val="00D859C5"/>
    <w:rsid w:val="00D86C5D"/>
    <w:rsid w:val="00D9514C"/>
    <w:rsid w:val="00DA45BC"/>
    <w:rsid w:val="00DA48A2"/>
    <w:rsid w:val="00DA6058"/>
    <w:rsid w:val="00DC3C6C"/>
    <w:rsid w:val="00DD1EAF"/>
    <w:rsid w:val="00DF028A"/>
    <w:rsid w:val="00DF4DF5"/>
    <w:rsid w:val="00E441F9"/>
    <w:rsid w:val="00E53AF5"/>
    <w:rsid w:val="00E7090D"/>
    <w:rsid w:val="00E86DCB"/>
    <w:rsid w:val="00EB3DE9"/>
    <w:rsid w:val="00EC7326"/>
    <w:rsid w:val="00ED0177"/>
    <w:rsid w:val="00ED3A93"/>
    <w:rsid w:val="00EE05B8"/>
    <w:rsid w:val="00EE4231"/>
    <w:rsid w:val="00EE7743"/>
    <w:rsid w:val="00EF53C2"/>
    <w:rsid w:val="00F033AC"/>
    <w:rsid w:val="00F27DEB"/>
    <w:rsid w:val="00F3028B"/>
    <w:rsid w:val="00F50EF1"/>
    <w:rsid w:val="00F71CAA"/>
    <w:rsid w:val="00F8135A"/>
    <w:rsid w:val="00F8421B"/>
    <w:rsid w:val="00F92449"/>
    <w:rsid w:val="00F94A92"/>
    <w:rsid w:val="00F95DD2"/>
    <w:rsid w:val="00FB663F"/>
    <w:rsid w:val="00FC1B6A"/>
    <w:rsid w:val="00FE13E1"/>
    <w:rsid w:val="00FE2921"/>
    <w:rsid w:val="00FE332A"/>
    <w:rsid w:val="00FE34A2"/>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5AC60E"/>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24</Pages>
  <Words>4938</Words>
  <Characters>28148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253</cp:revision>
  <dcterms:created xsi:type="dcterms:W3CDTF">2018-09-18T16:55:00Z</dcterms:created>
  <dcterms:modified xsi:type="dcterms:W3CDTF">2019-07-13T18:41:00Z</dcterms:modified>
</cp:coreProperties>
</file>