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bookmarkStart w:id="0" w:name="_GoBack"/>
      <w:bookmarkEnd w:id="0"/>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w:t>
      </w:r>
      <w:r w:rsidR="008C38DF">
        <w:rPr>
          <w:rFonts w:ascii="Times New Roman" w:hAnsi="Times New Roman" w:cs="Times New Roman"/>
          <w:sz w:val="24"/>
          <w:szCs w:val="24"/>
        </w:rPr>
        <w:t>fer) should not be the only goal of technology transfer public policy</w:t>
      </w:r>
      <w:r>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federally-funded R&amp;D</w:t>
      </w:r>
      <w:r w:rsidR="008C38DF">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8C38DF">
        <w:rPr>
          <w:rFonts w:ascii="Times New Roman" w:hAnsi="Times New Roman" w:cs="Times New Roman"/>
          <w:sz w:val="24"/>
          <w:szCs w:val="24"/>
        </w:rPr>
        <w:t>new</w:t>
      </w:r>
      <w:r>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Pr>
          <w:rFonts w:ascii="Times New Roman" w:hAnsi="Times New Roman" w:cs="Times New Roman"/>
          <w:sz w:val="24"/>
          <w:szCs w:val="24"/>
        </w:rPr>
        <w:t>.</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 xml:space="preserve">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 xml:space="preserve">atent (i.e., the greater </w:t>
      </w:r>
      <w:r w:rsidR="00DF61D5">
        <w:rPr>
          <w:rFonts w:ascii="Times New Roman" w:hAnsi="Times New Roman" w:cs="Times New Roman"/>
          <w:sz w:val="24"/>
          <w:szCs w:val="24"/>
        </w:rPr>
        <w:t xml:space="preserve">the breadth of </w:t>
      </w:r>
      <w:r w:rsidR="00DF61D5">
        <w:rPr>
          <w:rFonts w:ascii="Times New Roman" w:hAnsi="Times New Roman" w:cs="Times New Roman"/>
          <w:sz w:val="24"/>
          <w:szCs w:val="24"/>
        </w:rPr>
        <w:t xml:space="preserve">potential </w:t>
      </w:r>
      <w:r w:rsidR="00DF61D5">
        <w:rPr>
          <w:rFonts w:ascii="Times New Roman" w:hAnsi="Times New Roman" w:cs="Times New Roman"/>
          <w:sz w:val="24"/>
          <w:szCs w:val="24"/>
        </w:rPr>
        <w:t xml:space="preserve">influence of a </w:t>
      </w:r>
      <w:r w:rsidR="00DF61D5">
        <w:rPr>
          <w:rFonts w:ascii="Times New Roman" w:hAnsi="Times New Roman" w:cs="Times New Roman"/>
          <w:sz w:val="24"/>
          <w:szCs w:val="24"/>
        </w:rPr>
        <w:t xml:space="preserve">research </w:t>
      </w:r>
      <w:proofErr w:type="spellStart"/>
      <w:r w:rsidR="00DF61D5">
        <w:rPr>
          <w:rFonts w:ascii="Times New Roman" w:hAnsi="Times New Roman" w:cs="Times New Roman"/>
          <w:sz w:val="24"/>
          <w:szCs w:val="24"/>
        </w:rPr>
        <w:t>disvoery</w:t>
      </w:r>
      <w:proofErr w:type="spellEnd"/>
      <w:r w:rsidR="00DF61D5">
        <w:rPr>
          <w:rFonts w:ascii="Times New Roman" w:hAnsi="Times New Roman" w:cs="Times New Roman"/>
          <w:sz w:val="24"/>
          <w:szCs w:val="24"/>
        </w:rPr>
        <w:t xml:space="preserve"> across f</w:t>
      </w:r>
      <w:r w:rsidR="00DF61D5">
        <w:rPr>
          <w:rFonts w:ascii="Times New Roman" w:hAnsi="Times New Roman" w:cs="Times New Roman"/>
          <w:sz w:val="24"/>
          <w:szCs w:val="24"/>
        </w:rPr>
        <w:t>ields)</w:t>
      </w:r>
      <w:r w:rsidR="00DF61D5">
        <w:rPr>
          <w:rFonts w:ascii="Times New Roman" w:hAnsi="Times New Roman" w:cs="Times New Roman"/>
          <w:sz w:val="24"/>
          <w:szCs w:val="24"/>
        </w:rPr>
        <w:t xml:space="preserve"> </w:t>
      </w:r>
      <w:r>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w:t>
      </w:r>
      <w:r w:rsidR="00DF61D5">
        <w:rPr>
          <w:rFonts w:ascii="Times New Roman" w:hAnsi="Times New Roman" w:cs="Times New Roman"/>
          <w:sz w:val="24"/>
          <w:szCs w:val="24"/>
        </w:rPr>
        <w:t xml:space="preserve">, which one can think of as a measure of the degree to which a research discovery is novel and independent of anything previous, </w:t>
      </w:r>
      <w:r w:rsidR="00DF61D5">
        <w:rPr>
          <w:rFonts w:ascii="Times New Roman" w:hAnsi="Times New Roman" w:cs="Times New Roman"/>
          <w:sz w:val="24"/>
          <w:szCs w:val="24"/>
        </w:rPr>
        <w:t>is</w:t>
      </w:r>
      <w:r w:rsidR="00554A5F">
        <w:rPr>
          <w:rFonts w:ascii="Times New Roman" w:hAnsi="Times New Roman" w:cs="Times New Roman"/>
          <w:sz w:val="24"/>
          <w:szCs w:val="24"/>
        </w:rPr>
        <w:t xml:space="preserv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DF61D5">
        <w:rPr>
          <w:rFonts w:ascii="Times New Roman" w:hAnsi="Times New Roman" w:cs="Times New Roman"/>
          <w:sz w:val="24"/>
          <w:szCs w:val="24"/>
        </w:rPr>
        <w:t xml:space="preserve"> </w:t>
      </w:r>
      <w:r w:rsidR="0099778D">
        <w:rPr>
          <w:rFonts w:ascii="Times New Roman" w:hAnsi="Times New Roman" w:cs="Times New Roman"/>
          <w:sz w:val="24"/>
          <w:szCs w:val="24"/>
        </w:rPr>
        <w:t>{</w:t>
      </w:r>
      <w:r w:rsidR="0099778D">
        <w:rPr>
          <w:rFonts w:ascii="Times New Roman" w:hAnsi="Times New Roman" w:cs="Times New Roman"/>
          <w:b/>
          <w:sz w:val="24"/>
          <w:szCs w:val="24"/>
        </w:rPr>
        <w:t>DISCUSS THE ADJACENT POSSIBLE}</w:t>
      </w:r>
      <w:r w:rsidR="0099778D">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w:t>
      </w:r>
      <w:r w:rsidRPr="00DA48A2">
        <w:rPr>
          <w:rFonts w:ascii="Times New Roman" w:hAnsi="Times New Roman" w:cs="Times New Roman"/>
          <w:sz w:val="24"/>
          <w:szCs w:val="24"/>
        </w:rPr>
        <w:lastRenderedPageBreak/>
        <w:t xml:space="preserve">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w:t>
      </w:r>
      <w:r w:rsidRPr="00DA48A2">
        <w:rPr>
          <w:rFonts w:ascii="Times New Roman" w:hAnsi="Times New Roman" w:cs="Times New Roman"/>
          <w:sz w:val="24"/>
          <w:szCs w:val="24"/>
        </w:rPr>
        <w:lastRenderedPageBreak/>
        <w:t xml:space="preserve">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t>
      </w:r>
      <w:r w:rsidR="004A6A74">
        <w:rPr>
          <w:rFonts w:ascii="Times New Roman" w:hAnsi="Times New Roman" w:cs="Times New Roman"/>
          <w:sz w:val="24"/>
          <w:szCs w:val="24"/>
        </w:rPr>
        <w:lastRenderedPageBreak/>
        <w:t xml:space="preserve">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w:t>
      </w:r>
      <w:r w:rsidR="00B97143">
        <w:rPr>
          <w:rFonts w:ascii="Times New Roman" w:hAnsi="Times New Roman" w:cs="Times New Roman"/>
          <w:sz w:val="24"/>
          <w:szCs w:val="24"/>
        </w:rPr>
        <w:lastRenderedPageBreak/>
        <w:t>of the CRECEIVE variable against each of the other primary variables were then created to 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57CD1"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57CD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57CD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57CD1"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57CD1"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57CD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57CD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w:t>
      </w:r>
      <w:r w:rsidR="00DB1A5A">
        <w:rPr>
          <w:rFonts w:ascii="Times New Roman" w:hAnsi="Times New Roman" w:cs="Times New Roman"/>
          <w:sz w:val="24"/>
          <w:szCs w:val="24"/>
        </w:rPr>
        <w:lastRenderedPageBreak/>
        <w:t>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57CD1"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57CD1"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r>
            <w:rPr>
              <w:rFonts w:ascii="Cambria Math" w:hAnsi="Cambria Math" w:cs="Times New Roman"/>
              <w:sz w:val="24"/>
              <w:szCs w:val="24"/>
            </w:rPr>
            <m:t>)</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57CD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r>
          <w:rPr>
            <w:rFonts w:ascii="Cambria Math" w:eastAsiaTheme="minorEastAsia" w:hAnsi="Cambria Math" w:cs="Times New Roman"/>
            <w:sz w:val="24"/>
            <w:szCs w:val="24"/>
          </w:rPr>
          <m:t>)</m:t>
        </m:r>
      </m:oMath>
      <w:r>
        <w:rPr>
          <w:rFonts w:ascii="Times New Roman" w:hAnsi="Times New Roman" w:cs="Times New Roman"/>
          <w:sz w:val="24"/>
          <w:szCs w:val="24"/>
        </w:rPr>
        <w:t xml:space="preserve">] = </w:t>
      </w:r>
    </w:p>
    <w:p w:rsidR="0036294C" w:rsidRDefault="00957CD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t>
      </w:r>
      <w:r>
        <w:rPr>
          <w:rFonts w:ascii="Times New Roman" w:hAnsi="Times New Roman" w:cs="Times New Roman"/>
          <w:sz w:val="24"/>
          <w:szCs w:val="24"/>
        </w:rPr>
        <w:lastRenderedPageBreak/>
        <w:t>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probability associated with achieving at least </w:t>
      </w:r>
      <w:r w:rsidR="00A23F72">
        <w:rPr>
          <w:rFonts w:ascii="Times New Roman" w:hAnsi="Times New Roman" w:cs="Times New Roman"/>
          <w:sz w:val="24"/>
          <w:szCs w:val="24"/>
        </w:rPr>
        <w:t xml:space="preserve">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w:t>
      </w:r>
      <w:r w:rsidR="00E33833">
        <w:rPr>
          <w:rFonts w:ascii="Times New Roman" w:hAnsi="Times New Roman" w:cs="Times New Roman"/>
          <w:sz w:val="24"/>
          <w:szCs w:val="24"/>
        </w:rPr>
        <w:t>t least a</w:t>
      </w:r>
      <w:r w:rsidR="001D5384">
        <w:rPr>
          <w:rFonts w:ascii="Times New Roman" w:hAnsi="Times New Roman" w:cs="Times New Roman"/>
          <w:sz w:val="24"/>
          <w:szCs w:val="24"/>
        </w:rPr>
        <w:t xml:space="preserve">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Like the results of the binomial logistic regression, the magnitude of the association 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 xml:space="preserve">It was theorized that a positive linear relationship existed between the number of citations a patent received from other </w:t>
      </w:r>
      <w:r w:rsidR="003F7A67">
        <w:rPr>
          <w:rFonts w:ascii="Times New Roman" w:hAnsi="Times New Roman" w:cs="Times New Roman"/>
          <w:sz w:val="24"/>
          <w:szCs w:val="24"/>
        </w:rPr>
        <w:lastRenderedPageBreak/>
        <w:t>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 that applying the transformation to the dependent variable improved the multiple regression model.  As Figure 4 shows, the heteroscedasticity in the data appears to have been eliminated.  Correlation between the model residuals and many of the independent variables appears to have been removed. 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technology transfer.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w:t>
      </w:r>
      <w:r w:rsidR="004E52D7">
        <w:rPr>
          <w:rFonts w:ascii="Times New Roman" w:hAnsi="Times New Roman" w:cs="Times New Roman"/>
          <w:sz w:val="24"/>
          <w:szCs w:val="24"/>
        </w:rPr>
        <w:lastRenderedPageBreak/>
        <w:t>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 and technology transfer policy.</w:t>
      </w:r>
      <w:r w:rsidR="004E52D7">
        <w:rPr>
          <w:rFonts w:ascii="Times New Roman" w:hAnsi="Times New Roman" w:cs="Times New Roman"/>
          <w:sz w:val="24"/>
          <w:szCs w:val="24"/>
        </w:rPr>
        <w:t xml:space="preserve">  </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Pr>
          <w:rFonts w:ascii="Times New Roman" w:hAnsi="Times New Roman" w:cs="Times New Roman"/>
          <w:sz w:val="24"/>
          <w:szCs w:val="24"/>
        </w:rPr>
        <w:t xml:space="preserve">it’s feasible to measure knowledge transfer as a benefit of R&amp;D.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 xml:space="preserve">suggest that the generality of knowledge derived from R&amp;D initiatives is strongly associated with the odds of the knowledge being transferred and the extent to which that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transferred and the extent to which that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463BE1">
        <w:rPr>
          <w:rFonts w:ascii="Times New Roman" w:hAnsi="Times New Roman" w:cs="Times New Roman"/>
          <w:sz w:val="24"/>
          <w:szCs w:val="24"/>
        </w:rPr>
        <w:t>The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A86885">
        <w:rPr>
          <w:rFonts w:ascii="Times New Roman" w:hAnsi="Times New Roman" w:cs="Times New Roman"/>
          <w:sz w:val="24"/>
          <w:szCs w:val="24"/>
        </w:rPr>
        <w:t>Repeating the analysis with mor</w:t>
      </w:r>
      <w:r w:rsidR="00A86885" w:rsidRPr="00515BF4">
        <w:rPr>
          <w:rFonts w:ascii="Times New Roman" w:hAnsi="Times New Roman" w:cs="Times New Roman"/>
          <w:sz w:val="24"/>
          <w:szCs w:val="24"/>
        </w:rPr>
        <w:t>e recent data</w:t>
      </w:r>
      <w:r w:rsidR="00A86885">
        <w:rPr>
          <w:rFonts w:ascii="Times New Roman" w:hAnsi="Times New Roman" w:cs="Times New Roman"/>
          <w:sz w:val="24"/>
          <w:szCs w:val="24"/>
        </w:rPr>
        <w:t xml:space="preserve"> </w:t>
      </w:r>
      <w:r w:rsidR="00463BE1">
        <w:rPr>
          <w:rFonts w:ascii="Times New Roman" w:hAnsi="Times New Roman" w:cs="Times New Roman"/>
          <w:sz w:val="24"/>
          <w:szCs w:val="24"/>
        </w:rPr>
        <w:t>and with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w:t>
      </w:r>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 to minimize truncation </w:t>
      </w:r>
      <w:r w:rsidRPr="00515BF4">
        <w:rPr>
          <w:rFonts w:ascii="Times New Roman" w:hAnsi="Times New Roman" w:cs="Times New Roman"/>
          <w:sz w:val="24"/>
          <w:szCs w:val="24"/>
        </w:rPr>
        <w:lastRenderedPageBreak/>
        <w:t>effects</w:t>
      </w:r>
      <w:r>
        <w:rPr>
          <w:rFonts w:ascii="Times New Roman" w:hAnsi="Times New Roman" w:cs="Times New Roman"/>
          <w:sz w:val="24"/>
          <w:szCs w:val="24"/>
        </w:rPr>
        <w:t xml:space="preserve"> might be advantageous.</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4790B">
        <w:rPr>
          <w:rFonts w:ascii="Times New Roman" w:hAnsi="Times New Roman" w:cs="Times New Roman"/>
          <w:sz w:val="24"/>
          <w:szCs w:val="24"/>
        </w:rPr>
        <w:t xml:space="preserve"> for analyzing this kind of times series 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improve the results to the analysis approach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 that the number of claims are among the least influential of the factors considered.  Patents contain two types of claims – independent and dependent.  An independent claim stands alone and does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derived from R&amp;D activities.  </w:t>
      </w:r>
      <w:r w:rsidR="001D0BA6">
        <w:rPr>
          <w:rFonts w:ascii="Times New Roman" w:hAnsi="Times New Roman" w:cs="Times New Roman"/>
          <w:sz w:val="24"/>
          <w:szCs w:val="24"/>
        </w:rPr>
        <w:lastRenderedPageBreak/>
        <w:t>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515BF4" w:rsidRPr="00515BF4">
        <w:rPr>
          <w:rFonts w:ascii="Times New Roman" w:hAnsi="Times New Roman" w:cs="Times New Roman"/>
          <w:sz w:val="24"/>
          <w:szCs w:val="24"/>
        </w:rPr>
        <w:t xml:space="preserve">patent data, I conducted a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 xml:space="preserve">results indicate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has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has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R&amp;D is conceived and measured, which could influence public policy regarding federal-funded R&amp;D 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CD1" w:rsidRDefault="00957CD1" w:rsidP="00ED3A93">
      <w:pPr>
        <w:spacing w:after="0" w:line="240" w:lineRule="auto"/>
      </w:pPr>
      <w:r>
        <w:separator/>
      </w:r>
    </w:p>
  </w:endnote>
  <w:endnote w:type="continuationSeparator" w:id="0">
    <w:p w:rsidR="00957CD1" w:rsidRDefault="00957CD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CD1" w:rsidRDefault="00957CD1" w:rsidP="00ED3A93">
      <w:pPr>
        <w:spacing w:after="0" w:line="240" w:lineRule="auto"/>
      </w:pPr>
      <w:r>
        <w:separator/>
      </w:r>
    </w:p>
  </w:footnote>
  <w:footnote w:type="continuationSeparator" w:id="0">
    <w:p w:rsidR="00957CD1" w:rsidRDefault="00957CD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C6666">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C6666">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D1513"/>
    <w:rsid w:val="000E18C4"/>
    <w:rsid w:val="000E4997"/>
    <w:rsid w:val="000E5952"/>
    <w:rsid w:val="000F366F"/>
    <w:rsid w:val="000F3B07"/>
    <w:rsid w:val="000F7BAC"/>
    <w:rsid w:val="00107729"/>
    <w:rsid w:val="00113C95"/>
    <w:rsid w:val="00117672"/>
    <w:rsid w:val="00117834"/>
    <w:rsid w:val="00121BA5"/>
    <w:rsid w:val="001224BF"/>
    <w:rsid w:val="001326FA"/>
    <w:rsid w:val="00135A7B"/>
    <w:rsid w:val="001418B7"/>
    <w:rsid w:val="00145FC5"/>
    <w:rsid w:val="00156990"/>
    <w:rsid w:val="00163F88"/>
    <w:rsid w:val="00167167"/>
    <w:rsid w:val="00173125"/>
    <w:rsid w:val="00173668"/>
    <w:rsid w:val="00176833"/>
    <w:rsid w:val="00183221"/>
    <w:rsid w:val="00186B93"/>
    <w:rsid w:val="001928A1"/>
    <w:rsid w:val="001A16FC"/>
    <w:rsid w:val="001A4883"/>
    <w:rsid w:val="001C321B"/>
    <w:rsid w:val="001C6060"/>
    <w:rsid w:val="001D0BA6"/>
    <w:rsid w:val="001D5384"/>
    <w:rsid w:val="001D6329"/>
    <w:rsid w:val="001F264D"/>
    <w:rsid w:val="002002D8"/>
    <w:rsid w:val="00205B2C"/>
    <w:rsid w:val="00225414"/>
    <w:rsid w:val="00231164"/>
    <w:rsid w:val="00231217"/>
    <w:rsid w:val="002424F7"/>
    <w:rsid w:val="00244CBF"/>
    <w:rsid w:val="00250EC3"/>
    <w:rsid w:val="002531CD"/>
    <w:rsid w:val="00264174"/>
    <w:rsid w:val="00267CD3"/>
    <w:rsid w:val="00270676"/>
    <w:rsid w:val="002829D7"/>
    <w:rsid w:val="0028689B"/>
    <w:rsid w:val="00287689"/>
    <w:rsid w:val="00296650"/>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C6666"/>
    <w:rsid w:val="003D0077"/>
    <w:rsid w:val="003D49FC"/>
    <w:rsid w:val="003E0BF0"/>
    <w:rsid w:val="003E1969"/>
    <w:rsid w:val="003E6CE7"/>
    <w:rsid w:val="003F7A67"/>
    <w:rsid w:val="00402745"/>
    <w:rsid w:val="00435D1E"/>
    <w:rsid w:val="0044284E"/>
    <w:rsid w:val="00452D79"/>
    <w:rsid w:val="004635D5"/>
    <w:rsid w:val="00463BE1"/>
    <w:rsid w:val="004642A8"/>
    <w:rsid w:val="00465009"/>
    <w:rsid w:val="00492BB0"/>
    <w:rsid w:val="004A2BFE"/>
    <w:rsid w:val="004A6A74"/>
    <w:rsid w:val="004B002C"/>
    <w:rsid w:val="004D2674"/>
    <w:rsid w:val="004E0725"/>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A34A3"/>
    <w:rsid w:val="005A46F1"/>
    <w:rsid w:val="005B0DDD"/>
    <w:rsid w:val="005B60C8"/>
    <w:rsid w:val="005C3A1F"/>
    <w:rsid w:val="005C78F8"/>
    <w:rsid w:val="005D0825"/>
    <w:rsid w:val="005D3F04"/>
    <w:rsid w:val="005D4726"/>
    <w:rsid w:val="005D50C5"/>
    <w:rsid w:val="005F5941"/>
    <w:rsid w:val="006108F2"/>
    <w:rsid w:val="00611638"/>
    <w:rsid w:val="006176B2"/>
    <w:rsid w:val="0063057F"/>
    <w:rsid w:val="00631E66"/>
    <w:rsid w:val="00632052"/>
    <w:rsid w:val="006603D4"/>
    <w:rsid w:val="00661871"/>
    <w:rsid w:val="006720CB"/>
    <w:rsid w:val="0067594F"/>
    <w:rsid w:val="00694596"/>
    <w:rsid w:val="00695630"/>
    <w:rsid w:val="006B104D"/>
    <w:rsid w:val="006C0768"/>
    <w:rsid w:val="006C27CF"/>
    <w:rsid w:val="006D0FE7"/>
    <w:rsid w:val="006D4A47"/>
    <w:rsid w:val="006E1DDD"/>
    <w:rsid w:val="006E26EC"/>
    <w:rsid w:val="006F5D78"/>
    <w:rsid w:val="006F794F"/>
    <w:rsid w:val="007003F9"/>
    <w:rsid w:val="0070304D"/>
    <w:rsid w:val="007030CA"/>
    <w:rsid w:val="00712F19"/>
    <w:rsid w:val="00734F8B"/>
    <w:rsid w:val="007426B6"/>
    <w:rsid w:val="00745555"/>
    <w:rsid w:val="00750A69"/>
    <w:rsid w:val="00753FA7"/>
    <w:rsid w:val="00755F3B"/>
    <w:rsid w:val="0077621E"/>
    <w:rsid w:val="00780AC5"/>
    <w:rsid w:val="00781FC8"/>
    <w:rsid w:val="00791766"/>
    <w:rsid w:val="007A15DA"/>
    <w:rsid w:val="007A1DC5"/>
    <w:rsid w:val="007A6FD9"/>
    <w:rsid w:val="007A7359"/>
    <w:rsid w:val="007B5E20"/>
    <w:rsid w:val="007C144F"/>
    <w:rsid w:val="007C6F82"/>
    <w:rsid w:val="007D65A1"/>
    <w:rsid w:val="007E6816"/>
    <w:rsid w:val="007F562C"/>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C38DF"/>
    <w:rsid w:val="008D0DFC"/>
    <w:rsid w:val="008E0001"/>
    <w:rsid w:val="008E0821"/>
    <w:rsid w:val="008E2023"/>
    <w:rsid w:val="008E2B9A"/>
    <w:rsid w:val="008E6D11"/>
    <w:rsid w:val="008F76E8"/>
    <w:rsid w:val="00900C16"/>
    <w:rsid w:val="00902F6A"/>
    <w:rsid w:val="009059D6"/>
    <w:rsid w:val="009112B2"/>
    <w:rsid w:val="009171D5"/>
    <w:rsid w:val="0092405C"/>
    <w:rsid w:val="00940734"/>
    <w:rsid w:val="00944360"/>
    <w:rsid w:val="00955648"/>
    <w:rsid w:val="00956B1E"/>
    <w:rsid w:val="00957CD1"/>
    <w:rsid w:val="0096042E"/>
    <w:rsid w:val="00974F5C"/>
    <w:rsid w:val="00993EDF"/>
    <w:rsid w:val="0099778D"/>
    <w:rsid w:val="009A0387"/>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95B39"/>
    <w:rsid w:val="00A9722D"/>
    <w:rsid w:val="00AA78A5"/>
    <w:rsid w:val="00AB1AD8"/>
    <w:rsid w:val="00AB1CA8"/>
    <w:rsid w:val="00AB4934"/>
    <w:rsid w:val="00AC2C6F"/>
    <w:rsid w:val="00AD2CB2"/>
    <w:rsid w:val="00AD469C"/>
    <w:rsid w:val="00AE2F9F"/>
    <w:rsid w:val="00AF129C"/>
    <w:rsid w:val="00AF3007"/>
    <w:rsid w:val="00AF7B41"/>
    <w:rsid w:val="00B108C4"/>
    <w:rsid w:val="00B13DC9"/>
    <w:rsid w:val="00B1423F"/>
    <w:rsid w:val="00B20B57"/>
    <w:rsid w:val="00B212F2"/>
    <w:rsid w:val="00B31A68"/>
    <w:rsid w:val="00B47215"/>
    <w:rsid w:val="00B53472"/>
    <w:rsid w:val="00B55147"/>
    <w:rsid w:val="00B578C6"/>
    <w:rsid w:val="00B75648"/>
    <w:rsid w:val="00B77986"/>
    <w:rsid w:val="00B84686"/>
    <w:rsid w:val="00B902A3"/>
    <w:rsid w:val="00B97143"/>
    <w:rsid w:val="00BA6808"/>
    <w:rsid w:val="00BA6C09"/>
    <w:rsid w:val="00BB30EF"/>
    <w:rsid w:val="00BB72F2"/>
    <w:rsid w:val="00BB7F88"/>
    <w:rsid w:val="00BC5DF9"/>
    <w:rsid w:val="00BD4077"/>
    <w:rsid w:val="00BE172D"/>
    <w:rsid w:val="00BE372A"/>
    <w:rsid w:val="00BE3E25"/>
    <w:rsid w:val="00BE4993"/>
    <w:rsid w:val="00C03E6B"/>
    <w:rsid w:val="00C05481"/>
    <w:rsid w:val="00C05AC4"/>
    <w:rsid w:val="00C0722C"/>
    <w:rsid w:val="00C1307D"/>
    <w:rsid w:val="00C27E3C"/>
    <w:rsid w:val="00C30FC4"/>
    <w:rsid w:val="00C36A7F"/>
    <w:rsid w:val="00C42698"/>
    <w:rsid w:val="00C432AF"/>
    <w:rsid w:val="00C4790B"/>
    <w:rsid w:val="00C47E6E"/>
    <w:rsid w:val="00C61036"/>
    <w:rsid w:val="00C628DD"/>
    <w:rsid w:val="00C751B3"/>
    <w:rsid w:val="00C80754"/>
    <w:rsid w:val="00C816E9"/>
    <w:rsid w:val="00C84A5B"/>
    <w:rsid w:val="00C853DF"/>
    <w:rsid w:val="00C857AD"/>
    <w:rsid w:val="00C85C53"/>
    <w:rsid w:val="00C944DA"/>
    <w:rsid w:val="00CA20D7"/>
    <w:rsid w:val="00CC1328"/>
    <w:rsid w:val="00CC1A30"/>
    <w:rsid w:val="00CC5C60"/>
    <w:rsid w:val="00CC79D1"/>
    <w:rsid w:val="00CD0227"/>
    <w:rsid w:val="00CD2E27"/>
    <w:rsid w:val="00CD7A61"/>
    <w:rsid w:val="00CF3FA2"/>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2ED"/>
    <w:rsid w:val="00D66F80"/>
    <w:rsid w:val="00D859C5"/>
    <w:rsid w:val="00D86C5D"/>
    <w:rsid w:val="00D9514C"/>
    <w:rsid w:val="00DA2EC6"/>
    <w:rsid w:val="00DA45BC"/>
    <w:rsid w:val="00DA48A2"/>
    <w:rsid w:val="00DA6058"/>
    <w:rsid w:val="00DB1A5A"/>
    <w:rsid w:val="00DC1F53"/>
    <w:rsid w:val="00DC20A1"/>
    <w:rsid w:val="00DC3C6C"/>
    <w:rsid w:val="00DC4336"/>
    <w:rsid w:val="00DC6D1E"/>
    <w:rsid w:val="00DD1EAF"/>
    <w:rsid w:val="00DE193A"/>
    <w:rsid w:val="00DE5978"/>
    <w:rsid w:val="00DF028A"/>
    <w:rsid w:val="00DF4DF5"/>
    <w:rsid w:val="00DF5AED"/>
    <w:rsid w:val="00DF61D5"/>
    <w:rsid w:val="00E33833"/>
    <w:rsid w:val="00E441F9"/>
    <w:rsid w:val="00E53AF5"/>
    <w:rsid w:val="00E543AC"/>
    <w:rsid w:val="00E7090D"/>
    <w:rsid w:val="00E70B33"/>
    <w:rsid w:val="00E83B6C"/>
    <w:rsid w:val="00E86DCB"/>
    <w:rsid w:val="00E91BFB"/>
    <w:rsid w:val="00EA4A82"/>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747B4"/>
    <w:rsid w:val="00F756E6"/>
    <w:rsid w:val="00F8135A"/>
    <w:rsid w:val="00F83DBE"/>
    <w:rsid w:val="00F8421B"/>
    <w:rsid w:val="00F923A5"/>
    <w:rsid w:val="00F92449"/>
    <w:rsid w:val="00F94A92"/>
    <w:rsid w:val="00F95DD2"/>
    <w:rsid w:val="00FB07C6"/>
    <w:rsid w:val="00FB663F"/>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CFE10A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32</Pages>
  <Words>7087</Words>
  <Characters>40399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392</cp:revision>
  <dcterms:created xsi:type="dcterms:W3CDTF">2018-09-18T16:55:00Z</dcterms:created>
  <dcterms:modified xsi:type="dcterms:W3CDTF">2019-07-16T19:12:00Z</dcterms:modified>
</cp:coreProperties>
</file>