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w:t>
      </w:r>
      <w:r w:rsidR="00B97143">
        <w:rPr>
          <w:rFonts w:ascii="Times New Roman" w:hAnsi="Times New Roman" w:cs="Times New Roman"/>
          <w:sz w:val="24"/>
          <w:szCs w:val="24"/>
        </w:rPr>
        <w:lastRenderedPageBreak/>
        <w:t>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3C5450" w:rsidRDefault="00AF7B41" w:rsidP="00024A7F">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3C5450">
        <w:rPr>
          <w:rFonts w:ascii="Times New Roman" w:hAnsi="Times New Roman" w:cs="Times New Roman"/>
          <w:sz w:val="24"/>
          <w:szCs w:val="24"/>
        </w:rPr>
        <w:t xml:space="preserve"> = Logit</w:t>
      </w:r>
      <w:r w:rsidR="003C5450">
        <w:rPr>
          <w:rFonts w:ascii="Times New Roman" w:hAnsi="Times New Roman" w:cs="Times New Roman"/>
          <w:sz w:val="24"/>
          <w:szCs w:val="24"/>
          <w:vertAlign w:val="superscript"/>
        </w:rPr>
        <w:t>-1</w:t>
      </w:r>
      <w:r w:rsidR="003C5450">
        <w:rPr>
          <w:rFonts w:ascii="Times New Roman" w:hAnsi="Times New Roman" w:cs="Times New Roman"/>
          <w:sz w:val="24"/>
          <w:szCs w:val="24"/>
        </w:rPr>
        <w:t>(</w:t>
      </w:r>
      <m:oMath>
        <m:r>
          <w:rPr>
            <w:rFonts w:ascii="Cambria Math" w:hAnsi="Cambria Math" w:cs="Times New Roman"/>
            <w:sz w:val="24"/>
            <w:szCs w:val="24"/>
          </w:rPr>
          <m:t>p</m:t>
        </m:r>
      </m:oMath>
      <w:r w:rsidR="003C5450">
        <w:rPr>
          <w:rFonts w:ascii="Times New Roman" w:hAnsi="Times New Roman" w:cs="Times New Roman"/>
          <w:sz w:val="24"/>
          <w:szCs w:val="24"/>
        </w:rPr>
        <w:t>) =</w:t>
      </w:r>
      <w:r w:rsidR="00024A7F">
        <w:rPr>
          <w:rFonts w:ascii="Times New Roman" w:hAnsi="Times New Roman" w:cs="Times New Roman"/>
          <w:sz w:val="24"/>
          <w:szCs w:val="24"/>
        </w:rPr>
        <w:t xml:space="preserve">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he</w:t>
      </w:r>
      <w:r w:rsidR="00F83DBE">
        <w:rPr>
          <w:rFonts w:ascii="Times New Roman" w:hAnsi="Times New Roman" w:cs="Times New Roman"/>
          <w:sz w:val="24"/>
          <w:szCs w:val="24"/>
        </w:rPr>
        <w:t xml:space="preserve"> </w:t>
      </w:r>
      <w:r w:rsidR="00C432AF">
        <w:rPr>
          <w:rFonts w:ascii="Times New Roman" w:hAnsi="Times New Roman" w:cs="Times New Roman"/>
          <w:sz w:val="24"/>
          <w:szCs w:val="24"/>
        </w:rPr>
        <w:t xml:space="preserve">log 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w:t>
      </w:r>
      <w:r w:rsidR="00C432AF">
        <w:rPr>
          <w:rFonts w:ascii="Times New Roman" w:hAnsi="Times New Roman" w:cs="Times New Roman"/>
          <w:sz w:val="24"/>
          <w:szCs w:val="24"/>
        </w:rPr>
        <w:lastRenderedPageBreak/>
        <w:t>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9D406C" w:rsidRDefault="00AF7B41" w:rsidP="009D406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9D406C">
        <w:rPr>
          <w:rFonts w:ascii="Times New Roman" w:hAnsi="Times New Roman" w:cs="Times New Roman"/>
          <w:sz w:val="24"/>
          <w:szCs w:val="24"/>
        </w:rPr>
        <w:t>(</w:t>
      </w:r>
      <m:oMath>
        <m:r>
          <w:rPr>
            <w:rFonts w:ascii="Cambria Math" w:hAnsi="Cambria Math" w:cs="Times New Roman"/>
            <w:sz w:val="24"/>
            <w:szCs w:val="24"/>
          </w:rPr>
          <m:t>p</m:t>
        </m:r>
      </m:oMath>
      <w:r w:rsidR="009D406C">
        <w:rPr>
          <w:rFonts w:ascii="Times New Roman" w:hAnsi="Times New Roman" w:cs="Times New Roman"/>
          <w:sz w:val="24"/>
          <w:szCs w:val="24"/>
        </w:rPr>
        <w:t>)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2D3B1C"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C944DA">
        <w:rPr>
          <w:rFonts w:ascii="Times New Roman" w:hAnsi="Times New Roman" w:cs="Times New Roman"/>
          <w:sz w:val="24"/>
          <w:szCs w:val="24"/>
        </w:rPr>
        <w:t>and the log 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w:t>
      </w:r>
      <w:r w:rsidR="00C944DA">
        <w:rPr>
          <w:rFonts w:ascii="Times New Roman" w:hAnsi="Times New Roman" w:cs="Times New Roman"/>
          <w:sz w:val="24"/>
          <w:szCs w:val="24"/>
        </w:rPr>
        <w:lastRenderedPageBreak/>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w:t>
      </w:r>
      <w:r w:rsidR="00D43DCD">
        <w:rPr>
          <w:rFonts w:ascii="Times New Roman" w:hAnsi="Times New Roman" w:cs="Times New Roman"/>
          <w:sz w:val="24"/>
          <w:szCs w:val="24"/>
        </w:rPr>
        <w:t xml:space="preserve">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 the median num</w:t>
      </w:r>
      <w:r w:rsidR="00D43DCD">
        <w:rPr>
          <w:rFonts w:ascii="Times New Roman" w:hAnsi="Times New Roman" w:cs="Times New Roman"/>
          <w:sz w:val="24"/>
          <w:szCs w:val="24"/>
        </w:rPr>
        <w:t>ber of citations than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36294C"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 given level of citations from other patents as expressed by the following:</w:t>
      </w:r>
      <w:r>
        <w:rPr>
          <w:rFonts w:ascii="Times New Roman" w:hAnsi="Times New Roman" w:cs="Times New Roman"/>
          <w:sz w:val="24"/>
          <w:szCs w:val="24"/>
        </w:rPr>
        <w:t xml:space="preserve">  </w:t>
      </w:r>
    </w:p>
    <w:p w:rsidR="0036294C" w:rsidRDefault="00AF7B41" w:rsidP="0036294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36294C">
        <w:rPr>
          <w:rFonts w:ascii="Times New Roman" w:hAnsi="Times New Roman" w:cs="Times New Roman"/>
          <w:sz w:val="24"/>
          <w:szCs w:val="24"/>
        </w:rPr>
        <w:t xml:space="preserve"> =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oMath>
      <w:r w:rsidR="0036294C">
        <w:rPr>
          <w:rFonts w:ascii="Times New Roman" w:hAnsi="Times New Roman" w:cs="Times New Roman"/>
          <w:sz w:val="24"/>
          <w:szCs w:val="24"/>
        </w:rPr>
        <w:t>) =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p(CRECordinal≤j</m:t>
        </m:r>
        <m:r>
          <w:rPr>
            <w:rFonts w:ascii="Cambria Math" w:eastAsiaTheme="minorEastAsia" w:hAnsi="Cambria Math" w:cs="Times New Roman"/>
            <w:sz w:val="24"/>
            <w:szCs w:val="24"/>
          </w:rPr>
          <m:t>)</m:t>
        </m:r>
      </m:oMath>
      <w:r w:rsidR="0036294C">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Pr>
          <w:rFonts w:ascii="Times New Roman" w:hAnsi="Times New Roman" w:cs="Times New Roman"/>
          <w:sz w:val="24"/>
          <w:szCs w:val="24"/>
        </w:rPr>
        <w:t xml:space="preserve">the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 xml:space="preserve">for at least one of the independent variables </w:t>
      </w:r>
      <w:r w:rsidR="009B3A45">
        <w:rPr>
          <w:rFonts w:ascii="Times New Roman" w:hAnsi="Times New Roman" w:cs="Times New Roman"/>
          <w:sz w:val="24"/>
          <w:szCs w:val="24"/>
        </w:rPr>
        <w:t xml:space="preserve">and </w:t>
      </w:r>
      <w:r w:rsidR="009B3A45" w:rsidRPr="009B3A45">
        <w:rPr>
          <w:rFonts w:ascii="Cambria Math" w:hAnsi="Cambria Math" w:cs="Times New Roman"/>
          <w:i/>
          <w:sz w:val="24"/>
          <w:szCs w:val="24"/>
        </w:rPr>
        <w:t>j</w:t>
      </w:r>
      <w:r w:rsidR="009B3A45">
        <w:rPr>
          <w:rFonts w:ascii="Times New Roman" w:hAnsi="Times New Roman" w:cs="Times New Roman"/>
          <w:sz w:val="24"/>
          <w:szCs w:val="24"/>
        </w:rPr>
        <w:t xml:space="preserve"> takes on ordinal values from 1 to 15</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 xml:space="preserve">It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 that there would be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that there would be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1 shows the results of the second binomial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 xml:space="preserve">.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log likelihood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probability associated with each level of citations by other patents received by a patent (i.e., the probability associated with each level of transfer of knowledge contained in the patent).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xml:space="preserve">.  Like the results of the binomial logistic regression, the magnitude of the association was much larger than expected.   </w:t>
      </w:r>
      <w:r w:rsidR="00A23F72">
        <w:rPr>
          <w:rFonts w:ascii="Times New Roman" w:hAnsi="Times New Roman" w:cs="Times New Roman"/>
          <w:sz w:val="24"/>
          <w:szCs w:val="24"/>
        </w:rPr>
        <w:t>The odds of a patent achieving a given level of citations received from other patents increased by 104 times for a</w:t>
      </w:r>
      <w:r w:rsidR="00EA4A82">
        <w:rPr>
          <w:rFonts w:ascii="Times New Roman" w:hAnsi="Times New Roman" w:cs="Times New Roman"/>
          <w:sz w:val="24"/>
          <w:szCs w:val="24"/>
        </w:rPr>
        <w:t xml:space="preserve"> one unit increase in </w:t>
      </w:r>
      <w:r w:rsidR="00A23F72">
        <w:rPr>
          <w:rFonts w:ascii="Times New Roman" w:hAnsi="Times New Roman" w:cs="Times New Roman"/>
          <w:sz w:val="24"/>
          <w:szCs w:val="24"/>
        </w:rPr>
        <w:t xml:space="preserve">the value of the </w:t>
      </w:r>
      <w:r w:rsidR="00A23F72" w:rsidRPr="00A23F72">
        <w:rPr>
          <w:rFonts w:ascii="Courier New" w:hAnsi="Courier New" w:cs="Courier New"/>
          <w:sz w:val="24"/>
          <w:szCs w:val="24"/>
        </w:rPr>
        <w:t>GENERAL</w:t>
      </w:r>
      <w:r w:rsidR="00A23F72">
        <w:rPr>
          <w:rFonts w:ascii="Times New Roman" w:hAnsi="Times New Roman" w:cs="Times New Roman"/>
          <w:sz w:val="24"/>
          <w:szCs w:val="24"/>
        </w:rPr>
        <w:t xml:space="preserve"> variable.</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w:t>
      </w:r>
      <w:r w:rsidR="00DC6D1E">
        <w:rPr>
          <w:rFonts w:ascii="Times New Roman" w:hAnsi="Times New Roman" w:cs="Times New Roman"/>
          <w:sz w:val="24"/>
          <w:szCs w:val="24"/>
        </w:rPr>
        <w:lastRenderedPageBreak/>
        <w:t>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0E18C4" w:rsidRPr="000E5952" w:rsidRDefault="003F7A67" w:rsidP="000E18C4">
      <w:pPr>
        <w:spacing w:after="0" w:line="480" w:lineRule="auto"/>
        <w:ind w:firstLine="720"/>
        <w:rPr>
          <w:rFonts w:ascii="Times New Roman" w:hAnsi="Times New Roman" w:cs="Times New Roman"/>
          <w:i/>
          <w:sz w:val="24"/>
          <w:szCs w:val="24"/>
        </w:rPr>
      </w:pPr>
      <w:r w:rsidRPr="000E5952">
        <w:rPr>
          <w:rFonts w:ascii="Courier New" w:hAnsi="Courier New" w:cs="Courier New"/>
          <w:i/>
          <w:sz w:val="24"/>
          <w:szCs w:val="24"/>
        </w:rPr>
        <w:t>CRECEIVE</w:t>
      </w:r>
      <w:r w:rsidRPr="000E5952">
        <w:rPr>
          <w:rFonts w:ascii="Times New Roman" w:hAnsi="Times New Roman" w:cs="Times New Roman"/>
          <w:i/>
          <w:sz w:val="24"/>
          <w:szCs w:val="24"/>
        </w:rPr>
        <w:t xml:space="preserve"> = </w:t>
      </w:r>
      <w:r w:rsidR="000E18C4" w:rsidRPr="000E5952">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0E18C4">
      <w:pPr>
        <w:spacing w:after="0" w:line="480" w:lineRule="auto"/>
        <w:ind w:left="144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R2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suggests that the multiple regression model above </w:t>
      </w:r>
      <w:r w:rsidR="00F747B4">
        <w:rPr>
          <w:rFonts w:ascii="Times New Roman" w:hAnsi="Times New Roman" w:cs="Times New Roman"/>
          <w:sz w:val="24"/>
          <w:szCs w:val="24"/>
        </w:rPr>
        <w:t>can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9C5677">
        <w:rPr>
          <w:rFonts w:ascii="Times New Roman" w:hAnsi="Times New Roman" w:cs="Times New Roman"/>
          <w:sz w:val="24"/>
          <w:szCs w:val="24"/>
        </w:rPr>
        <w:t xml:space="preserve"> shows, there appears to be some heteroscedasticity in the data.  Moreover, outliers appear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w:t>
      </w:r>
      <w:r w:rsidR="00F747B4">
        <w:rPr>
          <w:rFonts w:ascii="Times New Roman" w:hAnsi="Times New Roman" w:cs="Times New Roman"/>
          <w:sz w:val="24"/>
          <w:szCs w:val="24"/>
        </w:rPr>
        <w:lastRenderedPageBreak/>
        <w:t xml:space="preserve">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CRECEIVE variable was equal to or greater than 15 were removed as outliers.  </w:t>
      </w: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R2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w:t>
      </w:r>
      <w:r>
        <w:rPr>
          <w:rFonts w:ascii="Times New Roman" w:hAnsi="Times New Roman" w:cs="Times New Roman"/>
          <w:sz w:val="24"/>
          <w:szCs w:val="24"/>
        </w:rPr>
        <w:t>indicate that applying the transformation to the dependent variable improved</w:t>
      </w:r>
      <w:r>
        <w:rPr>
          <w:rFonts w:ascii="Times New Roman" w:hAnsi="Times New Roman" w:cs="Times New Roman"/>
          <w:sz w:val="24"/>
          <w:szCs w:val="24"/>
        </w:rPr>
        <w:t xml:space="preserve"> the multiple regression model.  As F</w:t>
      </w:r>
      <w:r>
        <w:rPr>
          <w:rFonts w:ascii="Times New Roman" w:hAnsi="Times New Roman" w:cs="Times New Roman"/>
          <w:sz w:val="24"/>
          <w:szCs w:val="24"/>
        </w:rPr>
        <w:t>igure 4</w:t>
      </w:r>
      <w:r>
        <w:rPr>
          <w:rFonts w:ascii="Times New Roman" w:hAnsi="Times New Roman" w:cs="Times New Roman"/>
          <w:sz w:val="24"/>
          <w:szCs w:val="24"/>
        </w:rPr>
        <w:t xml:space="preserve"> shows, the heteroscedasticity in the data</w:t>
      </w:r>
      <w:r>
        <w:rPr>
          <w:rFonts w:ascii="Times New Roman" w:hAnsi="Times New Roman" w:cs="Times New Roman"/>
          <w:sz w:val="24"/>
          <w:szCs w:val="24"/>
        </w:rPr>
        <w:t xml:space="preserve"> appears to have been eliminated</w:t>
      </w:r>
      <w:r>
        <w:rPr>
          <w:rFonts w:ascii="Times New Roman" w:hAnsi="Times New Roman" w:cs="Times New Roman"/>
          <w:sz w:val="24"/>
          <w:szCs w:val="24"/>
        </w:rPr>
        <w:t xml:space="preserve">.  </w:t>
      </w:r>
      <w:r>
        <w:rPr>
          <w:rFonts w:ascii="Times New Roman" w:hAnsi="Times New Roman" w:cs="Times New Roman"/>
          <w:sz w:val="24"/>
          <w:szCs w:val="24"/>
        </w:rPr>
        <w:t>Correlation between</w:t>
      </w:r>
      <w:r>
        <w:rPr>
          <w:rFonts w:ascii="Times New Roman" w:hAnsi="Times New Roman" w:cs="Times New Roman"/>
          <w:sz w:val="24"/>
          <w:szCs w:val="24"/>
        </w:rPr>
        <w:t xml:space="preserve"> the model residuals</w:t>
      </w:r>
      <w:r>
        <w:rPr>
          <w:rFonts w:ascii="Times New Roman" w:hAnsi="Times New Roman" w:cs="Times New Roman"/>
          <w:sz w:val="24"/>
          <w:szCs w:val="24"/>
        </w:rPr>
        <w:t xml:space="preserve"> and many of the independent variables appears to have been removed</w:t>
      </w:r>
      <w:r>
        <w:rPr>
          <w:rFonts w:ascii="Times New Roman" w:hAnsi="Times New Roman" w:cs="Times New Roman"/>
          <w:sz w:val="24"/>
          <w:szCs w:val="24"/>
        </w:rPr>
        <w:t>. The mean of th</w:t>
      </w:r>
      <w:r>
        <w:rPr>
          <w:rFonts w:ascii="Times New Roman" w:hAnsi="Times New Roman" w:cs="Times New Roman"/>
          <w:sz w:val="24"/>
          <w:szCs w:val="24"/>
        </w:rPr>
        <w:t>e regression residuals was essentially zero</w:t>
      </w:r>
      <w:r>
        <w:rPr>
          <w:rFonts w:ascii="Times New Roman" w:hAnsi="Times New Roman" w:cs="Times New Roman"/>
          <w:sz w:val="24"/>
          <w:szCs w:val="24"/>
        </w:rPr>
        <w:t xml:space="preserve">.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w:t>
      </w:r>
      <w:r w:rsidRPr="00515BF4">
        <w:rPr>
          <w:rFonts w:ascii="Times New Roman" w:hAnsi="Times New Roman" w:cs="Times New Roman"/>
          <w:sz w:val="24"/>
          <w:szCs w:val="24"/>
        </w:rPr>
        <w:lastRenderedPageBreak/>
        <w:t xml:space="preserve">identify possible factors that should be considered when forming public policy regarding technology transfer.  </w:t>
      </w:r>
      <w:r w:rsidR="004E52D7">
        <w:rPr>
          <w:rFonts w:ascii="Times New Roman" w:hAnsi="Times New Roman" w:cs="Times New Roman"/>
          <w:sz w:val="24"/>
          <w:szCs w:val="24"/>
        </w:rPr>
        <w:t xml:space="preserve">It provides support for the notion that the benefits of federally-funded R&amp;D extend beyond financially-based outcomes and that non-financially-based measures such as knowledge transfer should be considered when evaluating the payoff from federally-funded R&amp;D activities.  The study demonstrates </w:t>
      </w:r>
      <w:r w:rsidR="00135A7B">
        <w:rPr>
          <w:rFonts w:ascii="Times New Roman" w:hAnsi="Times New Roman" w:cs="Times New Roman"/>
          <w:sz w:val="24"/>
          <w:szCs w:val="24"/>
        </w:rPr>
        <w:t xml:space="preserve">that </w:t>
      </w:r>
      <w:r w:rsidR="004E52D7">
        <w:rPr>
          <w:rFonts w:ascii="Times New Roman" w:hAnsi="Times New Roman" w:cs="Times New Roman"/>
          <w:sz w:val="24"/>
          <w:szCs w:val="24"/>
        </w:rPr>
        <w:t xml:space="preserve">it’s feasible to measure knowledge transfer as a benefit of federally-funded R&amp;D.  </w:t>
      </w:r>
      <w:r w:rsidR="00531C86">
        <w:rPr>
          <w:rFonts w:ascii="Times New Roman" w:hAnsi="Times New Roman" w:cs="Times New Roman"/>
          <w:sz w:val="24"/>
          <w:szCs w:val="24"/>
        </w:rPr>
        <w:t>The results of the analysis also suggest that the generality of knowledge derived from R&amp;D initiatives is strongly associated with the odds of the knowledge being transferred and the extent to which that knowledge is transferred.  Moreover, originality of knowledge derived from R&amp;D initiatives is negatively associated with the odds of the knowledge being transferred and the extent to which that knowledge is transferred.  This could have implications for which R&amp;D efforts are pursued and funded by technology transfer professionals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w:t>
      </w:r>
      <w:r w:rsidR="000F7BAC">
        <w:rPr>
          <w:rFonts w:ascii="Times New Roman" w:hAnsi="Times New Roman" w:cs="Times New Roman"/>
          <w:sz w:val="24"/>
          <w:szCs w:val="24"/>
        </w:rPr>
        <w:t>cused on 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A86885">
        <w:rPr>
          <w:rFonts w:ascii="Times New Roman" w:hAnsi="Times New Roman" w:cs="Times New Roman"/>
          <w:sz w:val="24"/>
          <w:szCs w:val="24"/>
        </w:rPr>
        <w:t>Repeating the analysis with mor</w:t>
      </w:r>
      <w:r w:rsidR="00A86885" w:rsidRPr="00515BF4">
        <w:rPr>
          <w:rFonts w:ascii="Times New Roman" w:hAnsi="Times New Roman" w:cs="Times New Roman"/>
          <w:sz w:val="24"/>
          <w:szCs w:val="24"/>
        </w:rPr>
        <w:t>e recent data</w:t>
      </w:r>
      <w:r w:rsidR="00A86885">
        <w:rPr>
          <w:rFonts w:ascii="Times New Roman" w:hAnsi="Times New Roman" w:cs="Times New Roman"/>
          <w:sz w:val="24"/>
          <w:szCs w:val="24"/>
        </w:rPr>
        <w:t xml:space="preserve"> to determine if the results hold up could be interesting.</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(CITATION)</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 to minimize truncation effects</w:t>
      </w:r>
      <w:r>
        <w:rPr>
          <w:rFonts w:ascii="Times New Roman" w:hAnsi="Times New Roman" w:cs="Times New Roman"/>
          <w:sz w:val="24"/>
          <w:szCs w:val="24"/>
        </w:rPr>
        <w:t xml:space="preserve"> might be advantageous.</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measures of originality and generality are highly dependent on the specification of classifications, which is 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(CITATION).</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and the number of citations </w:t>
      </w:r>
      <w:r w:rsidR="000F366F">
        <w:rPr>
          <w:rFonts w:ascii="Times New Roman" w:hAnsi="Times New Roman" w:cs="Times New Roman"/>
          <w:sz w:val="24"/>
          <w:szCs w:val="24"/>
        </w:rPr>
        <w:t>a patent receives from other patents</w:t>
      </w:r>
      <w:r w:rsidR="00A86885">
        <w:rPr>
          <w:rFonts w:ascii="Times New Roman" w:hAnsi="Times New Roman" w:cs="Times New Roman"/>
          <w:sz w:val="24"/>
          <w:szCs w:val="24"/>
        </w:rPr>
        <w:t>.</w:t>
      </w:r>
      <w:bookmarkStart w:id="0" w:name="_GoBack"/>
      <w:bookmarkEnd w:id="0"/>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B41" w:rsidRDefault="00AF7B41" w:rsidP="00ED3A93">
      <w:pPr>
        <w:spacing w:after="0" w:line="240" w:lineRule="auto"/>
      </w:pPr>
      <w:r>
        <w:separator/>
      </w:r>
    </w:p>
  </w:endnote>
  <w:endnote w:type="continuationSeparator" w:id="0">
    <w:p w:rsidR="00AF7B41" w:rsidRDefault="00AF7B41"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B41" w:rsidRDefault="00AF7B41" w:rsidP="00ED3A93">
      <w:pPr>
        <w:spacing w:after="0" w:line="240" w:lineRule="auto"/>
      </w:pPr>
      <w:r>
        <w:separator/>
      </w:r>
    </w:p>
  </w:footnote>
  <w:footnote w:type="continuationSeparator" w:id="0">
    <w:p w:rsidR="00AF7B41" w:rsidRDefault="00AF7B41"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B41" w:rsidRPr="00ED3A93" w:rsidRDefault="00AF7B41"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41128">
      <w:rPr>
        <w:rFonts w:ascii="Times New Roman" w:hAnsi="Times New Roman" w:cs="Times New Roman"/>
        <w:noProof/>
        <w:sz w:val="24"/>
      </w:rPr>
      <w:t>30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B41" w:rsidRPr="00ED3A93" w:rsidRDefault="00AF7B41"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41128">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E18C4"/>
    <w:rsid w:val="000E4997"/>
    <w:rsid w:val="000E5952"/>
    <w:rsid w:val="000F366F"/>
    <w:rsid w:val="000F3B07"/>
    <w:rsid w:val="000F7BAC"/>
    <w:rsid w:val="00107729"/>
    <w:rsid w:val="00117834"/>
    <w:rsid w:val="00121BA5"/>
    <w:rsid w:val="001224BF"/>
    <w:rsid w:val="001326FA"/>
    <w:rsid w:val="00135A7B"/>
    <w:rsid w:val="001418B7"/>
    <w:rsid w:val="00145FC5"/>
    <w:rsid w:val="00156990"/>
    <w:rsid w:val="00167167"/>
    <w:rsid w:val="00173125"/>
    <w:rsid w:val="00173668"/>
    <w:rsid w:val="00176833"/>
    <w:rsid w:val="00183221"/>
    <w:rsid w:val="00186B93"/>
    <w:rsid w:val="001928A1"/>
    <w:rsid w:val="001A16FC"/>
    <w:rsid w:val="001A4883"/>
    <w:rsid w:val="001C6060"/>
    <w:rsid w:val="001D5384"/>
    <w:rsid w:val="001D6329"/>
    <w:rsid w:val="001F264D"/>
    <w:rsid w:val="002002D8"/>
    <w:rsid w:val="00205B2C"/>
    <w:rsid w:val="00225414"/>
    <w:rsid w:val="00231164"/>
    <w:rsid w:val="00231217"/>
    <w:rsid w:val="002424F7"/>
    <w:rsid w:val="00250EC3"/>
    <w:rsid w:val="002531CD"/>
    <w:rsid w:val="00264174"/>
    <w:rsid w:val="00267CD3"/>
    <w:rsid w:val="00270676"/>
    <w:rsid w:val="002829D7"/>
    <w:rsid w:val="0028689B"/>
    <w:rsid w:val="00287689"/>
    <w:rsid w:val="002A0CBE"/>
    <w:rsid w:val="002B1431"/>
    <w:rsid w:val="002B2828"/>
    <w:rsid w:val="002B7C17"/>
    <w:rsid w:val="002C2374"/>
    <w:rsid w:val="002D3B1C"/>
    <w:rsid w:val="002E2F71"/>
    <w:rsid w:val="002F6471"/>
    <w:rsid w:val="002F7B59"/>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D0077"/>
    <w:rsid w:val="003E0BF0"/>
    <w:rsid w:val="003E1969"/>
    <w:rsid w:val="003E6CE7"/>
    <w:rsid w:val="003F7A67"/>
    <w:rsid w:val="00435D1E"/>
    <w:rsid w:val="0044284E"/>
    <w:rsid w:val="00452D79"/>
    <w:rsid w:val="004635D5"/>
    <w:rsid w:val="004642A8"/>
    <w:rsid w:val="00465009"/>
    <w:rsid w:val="00492BB0"/>
    <w:rsid w:val="004A2BFE"/>
    <w:rsid w:val="004A6A74"/>
    <w:rsid w:val="004B002C"/>
    <w:rsid w:val="004D2674"/>
    <w:rsid w:val="004E0725"/>
    <w:rsid w:val="004E52D7"/>
    <w:rsid w:val="004E7F37"/>
    <w:rsid w:val="005054D2"/>
    <w:rsid w:val="00515BF4"/>
    <w:rsid w:val="0051646D"/>
    <w:rsid w:val="00516C41"/>
    <w:rsid w:val="00522BED"/>
    <w:rsid w:val="00531C86"/>
    <w:rsid w:val="00532CC2"/>
    <w:rsid w:val="00533F40"/>
    <w:rsid w:val="00535B27"/>
    <w:rsid w:val="00553249"/>
    <w:rsid w:val="00554A5F"/>
    <w:rsid w:val="00556E08"/>
    <w:rsid w:val="0057217F"/>
    <w:rsid w:val="0058226B"/>
    <w:rsid w:val="00590F5F"/>
    <w:rsid w:val="0059137D"/>
    <w:rsid w:val="00591D73"/>
    <w:rsid w:val="00593778"/>
    <w:rsid w:val="005941BF"/>
    <w:rsid w:val="00594A44"/>
    <w:rsid w:val="00595F8C"/>
    <w:rsid w:val="005A46F1"/>
    <w:rsid w:val="005B0DDD"/>
    <w:rsid w:val="005B60C8"/>
    <w:rsid w:val="005C3A1F"/>
    <w:rsid w:val="005D0825"/>
    <w:rsid w:val="005D3F04"/>
    <w:rsid w:val="005D4726"/>
    <w:rsid w:val="005F5941"/>
    <w:rsid w:val="006108F2"/>
    <w:rsid w:val="00611638"/>
    <w:rsid w:val="006176B2"/>
    <w:rsid w:val="0063057F"/>
    <w:rsid w:val="00631E66"/>
    <w:rsid w:val="00632052"/>
    <w:rsid w:val="006603D4"/>
    <w:rsid w:val="00661871"/>
    <w:rsid w:val="006720CB"/>
    <w:rsid w:val="00694596"/>
    <w:rsid w:val="00695630"/>
    <w:rsid w:val="006B104D"/>
    <w:rsid w:val="006C0768"/>
    <w:rsid w:val="006D0FE7"/>
    <w:rsid w:val="006D4A47"/>
    <w:rsid w:val="006E26EC"/>
    <w:rsid w:val="006F5D78"/>
    <w:rsid w:val="006F794F"/>
    <w:rsid w:val="007003F9"/>
    <w:rsid w:val="0070304D"/>
    <w:rsid w:val="007030CA"/>
    <w:rsid w:val="00712F19"/>
    <w:rsid w:val="00745555"/>
    <w:rsid w:val="00753FA7"/>
    <w:rsid w:val="00755F3B"/>
    <w:rsid w:val="0077621E"/>
    <w:rsid w:val="00780AC5"/>
    <w:rsid w:val="00781FC8"/>
    <w:rsid w:val="00791766"/>
    <w:rsid w:val="007A15DA"/>
    <w:rsid w:val="007A1DC5"/>
    <w:rsid w:val="007A6FD9"/>
    <w:rsid w:val="007B5E20"/>
    <w:rsid w:val="007C144F"/>
    <w:rsid w:val="007C6F82"/>
    <w:rsid w:val="007D65A1"/>
    <w:rsid w:val="007E6816"/>
    <w:rsid w:val="00811F0D"/>
    <w:rsid w:val="008153A2"/>
    <w:rsid w:val="0081591D"/>
    <w:rsid w:val="0082229D"/>
    <w:rsid w:val="00826F36"/>
    <w:rsid w:val="00834CA6"/>
    <w:rsid w:val="00841128"/>
    <w:rsid w:val="0084229F"/>
    <w:rsid w:val="00843B13"/>
    <w:rsid w:val="008531A1"/>
    <w:rsid w:val="00853D7F"/>
    <w:rsid w:val="008558E3"/>
    <w:rsid w:val="00857A0E"/>
    <w:rsid w:val="00864D1B"/>
    <w:rsid w:val="00876656"/>
    <w:rsid w:val="008774F5"/>
    <w:rsid w:val="00882DC8"/>
    <w:rsid w:val="00885F39"/>
    <w:rsid w:val="00890337"/>
    <w:rsid w:val="00897975"/>
    <w:rsid w:val="008B0E48"/>
    <w:rsid w:val="008D0DFC"/>
    <w:rsid w:val="008E0001"/>
    <w:rsid w:val="008E0821"/>
    <w:rsid w:val="008E2B9A"/>
    <w:rsid w:val="008E6D11"/>
    <w:rsid w:val="008F76E8"/>
    <w:rsid w:val="00900C16"/>
    <w:rsid w:val="00902F6A"/>
    <w:rsid w:val="009059D6"/>
    <w:rsid w:val="009112B2"/>
    <w:rsid w:val="009171D5"/>
    <w:rsid w:val="0092405C"/>
    <w:rsid w:val="00940734"/>
    <w:rsid w:val="00944360"/>
    <w:rsid w:val="00956B1E"/>
    <w:rsid w:val="0096042E"/>
    <w:rsid w:val="00974F5C"/>
    <w:rsid w:val="00993EDF"/>
    <w:rsid w:val="009A0387"/>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80178"/>
    <w:rsid w:val="00A86885"/>
    <w:rsid w:val="00A95B39"/>
    <w:rsid w:val="00A9722D"/>
    <w:rsid w:val="00AA78A5"/>
    <w:rsid w:val="00AB1AD8"/>
    <w:rsid w:val="00AB4934"/>
    <w:rsid w:val="00AC2C6F"/>
    <w:rsid w:val="00AD2CB2"/>
    <w:rsid w:val="00AD469C"/>
    <w:rsid w:val="00AE2F9F"/>
    <w:rsid w:val="00AF129C"/>
    <w:rsid w:val="00AF3007"/>
    <w:rsid w:val="00AF7B41"/>
    <w:rsid w:val="00B108C4"/>
    <w:rsid w:val="00B13DC9"/>
    <w:rsid w:val="00B1423F"/>
    <w:rsid w:val="00B20B57"/>
    <w:rsid w:val="00B212F2"/>
    <w:rsid w:val="00B31A68"/>
    <w:rsid w:val="00B53472"/>
    <w:rsid w:val="00B55147"/>
    <w:rsid w:val="00B578C6"/>
    <w:rsid w:val="00B75648"/>
    <w:rsid w:val="00B77986"/>
    <w:rsid w:val="00B84686"/>
    <w:rsid w:val="00B902A3"/>
    <w:rsid w:val="00B97143"/>
    <w:rsid w:val="00BA6808"/>
    <w:rsid w:val="00BB30EF"/>
    <w:rsid w:val="00BB72F2"/>
    <w:rsid w:val="00BB7F88"/>
    <w:rsid w:val="00BC5DF9"/>
    <w:rsid w:val="00BD4077"/>
    <w:rsid w:val="00BE372A"/>
    <w:rsid w:val="00BE3E25"/>
    <w:rsid w:val="00BE4993"/>
    <w:rsid w:val="00C05481"/>
    <w:rsid w:val="00C05AC4"/>
    <w:rsid w:val="00C1307D"/>
    <w:rsid w:val="00C27E3C"/>
    <w:rsid w:val="00C30FC4"/>
    <w:rsid w:val="00C36A7F"/>
    <w:rsid w:val="00C42698"/>
    <w:rsid w:val="00C432AF"/>
    <w:rsid w:val="00C47E6E"/>
    <w:rsid w:val="00C61036"/>
    <w:rsid w:val="00C628DD"/>
    <w:rsid w:val="00C751B3"/>
    <w:rsid w:val="00C80754"/>
    <w:rsid w:val="00C816E9"/>
    <w:rsid w:val="00C84A5B"/>
    <w:rsid w:val="00C853DF"/>
    <w:rsid w:val="00C857AD"/>
    <w:rsid w:val="00C85C53"/>
    <w:rsid w:val="00C944DA"/>
    <w:rsid w:val="00CA20D7"/>
    <w:rsid w:val="00CC1328"/>
    <w:rsid w:val="00CC1A30"/>
    <w:rsid w:val="00CC5C60"/>
    <w:rsid w:val="00CC79D1"/>
    <w:rsid w:val="00CD0227"/>
    <w:rsid w:val="00CD2E27"/>
    <w:rsid w:val="00CD7A61"/>
    <w:rsid w:val="00CF3FA2"/>
    <w:rsid w:val="00CF721C"/>
    <w:rsid w:val="00D02FEA"/>
    <w:rsid w:val="00D07D8F"/>
    <w:rsid w:val="00D127D6"/>
    <w:rsid w:val="00D1795C"/>
    <w:rsid w:val="00D226EC"/>
    <w:rsid w:val="00D24CDD"/>
    <w:rsid w:val="00D2614D"/>
    <w:rsid w:val="00D33AD0"/>
    <w:rsid w:val="00D34CAA"/>
    <w:rsid w:val="00D432EF"/>
    <w:rsid w:val="00D43DCD"/>
    <w:rsid w:val="00D4639F"/>
    <w:rsid w:val="00D47073"/>
    <w:rsid w:val="00D6439B"/>
    <w:rsid w:val="00D66F80"/>
    <w:rsid w:val="00D859C5"/>
    <w:rsid w:val="00D86C5D"/>
    <w:rsid w:val="00D9514C"/>
    <w:rsid w:val="00DA2EC6"/>
    <w:rsid w:val="00DA45BC"/>
    <w:rsid w:val="00DA48A2"/>
    <w:rsid w:val="00DA6058"/>
    <w:rsid w:val="00DB1A5A"/>
    <w:rsid w:val="00DC1F53"/>
    <w:rsid w:val="00DC3C6C"/>
    <w:rsid w:val="00DC4336"/>
    <w:rsid w:val="00DC6D1E"/>
    <w:rsid w:val="00DD1EAF"/>
    <w:rsid w:val="00DE193A"/>
    <w:rsid w:val="00DF028A"/>
    <w:rsid w:val="00DF4DF5"/>
    <w:rsid w:val="00DF5AED"/>
    <w:rsid w:val="00E441F9"/>
    <w:rsid w:val="00E53AF5"/>
    <w:rsid w:val="00E543AC"/>
    <w:rsid w:val="00E7090D"/>
    <w:rsid w:val="00E70B33"/>
    <w:rsid w:val="00E83B6C"/>
    <w:rsid w:val="00E86DCB"/>
    <w:rsid w:val="00E91BFB"/>
    <w:rsid w:val="00EA4A82"/>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747B4"/>
    <w:rsid w:val="00F756E6"/>
    <w:rsid w:val="00F8135A"/>
    <w:rsid w:val="00F83DBE"/>
    <w:rsid w:val="00F8421B"/>
    <w:rsid w:val="00F92449"/>
    <w:rsid w:val="00F94A92"/>
    <w:rsid w:val="00F95DD2"/>
    <w:rsid w:val="00FB07C6"/>
    <w:rsid w:val="00FB663F"/>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DFF5F84"/>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30</Pages>
  <Words>6622</Words>
  <Characters>37750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354</cp:revision>
  <dcterms:created xsi:type="dcterms:W3CDTF">2018-09-18T16:55:00Z</dcterms:created>
  <dcterms:modified xsi:type="dcterms:W3CDTF">2019-07-15T20:59:00Z</dcterms:modified>
</cp:coreProperties>
</file>