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study used the R programming language to analyze the data.  The full R Notebook and output is shown in Appendix B.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 the coefficients for each independent variable would not equal zero.  In mathematical terms this can be expressed as follows:</w:t>
      </w:r>
    </w:p>
    <w:p w:rsidR="003C5450" w:rsidRDefault="003C5450"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m:t>
                </m:r>
                <m:r>
                  <w:rPr>
                    <w:rFonts w:ascii="Cambria Math" w:hAnsi="Cambria Math" w:cs="Times New Roman"/>
                    <w:sz w:val="24"/>
                    <w:szCs w:val="24"/>
                  </w:rPr>
                  <m: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3C5450" w:rsidRPr="00024A7F" w:rsidRDefault="00B84686" w:rsidP="00024A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024A7F">
        <w:rPr>
          <w:rFonts w:ascii="Times New Roman" w:hAnsi="Times New Roman" w:cs="Times New Roman"/>
          <w:sz w:val="24"/>
          <w:szCs w:val="24"/>
        </w:rPr>
        <w:t xml:space="preserve"> ≠ 0</w:t>
      </w:r>
    </w:p>
    <w:p w:rsidR="00CC1328" w:rsidRDefault="00CD022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Moreover, it was</w:t>
      </w:r>
      <w:r w:rsidR="00B84686">
        <w:rPr>
          <w:rFonts w:ascii="Times New Roman" w:hAnsi="Times New Roman" w:cs="Times New Roman"/>
          <w:sz w:val="24"/>
          <w:szCs w:val="24"/>
        </w:rPr>
        <w:t xml:space="preserve"> specifically</w:t>
      </w:r>
      <w:r>
        <w:rPr>
          <w:rFonts w:ascii="Times New Roman" w:hAnsi="Times New Roman" w:cs="Times New Roman"/>
          <w:sz w:val="24"/>
          <w:szCs w:val="24"/>
        </w:rPr>
        <w:t xml:space="preserve"> hypothesized that </w:t>
      </w:r>
      <w:r>
        <w:rPr>
          <w:rFonts w:ascii="Times New Roman" w:hAnsi="Times New Roman" w:cs="Times New Roman"/>
          <w:sz w:val="24"/>
          <w:szCs w:val="24"/>
        </w:rPr>
        <w:t>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the coefficient for the </w:t>
      </w:r>
      <w:r w:rsidR="00B84686" w:rsidRPr="00225414">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would be </w:t>
      </w:r>
      <w:r w:rsidR="00B84686">
        <w:rPr>
          <w:rFonts w:ascii="Times New Roman" w:eastAsiaTheme="minorEastAsia" w:hAnsi="Times New Roman" w:cs="Times New Roman"/>
          <w:sz w:val="24"/>
          <w:szCs w:val="24"/>
        </w:rPr>
        <w:t>negative, and that</w:t>
      </w:r>
      <w:r>
        <w:rPr>
          <w:rFonts w:ascii="Times New Roman" w:eastAsiaTheme="minorEastAsia"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 xml:space="preserve">, that is the </w:t>
      </w:r>
      <w:r>
        <w:rPr>
          <w:rFonts w:ascii="Times New Roman" w:eastAsiaTheme="minorEastAsia" w:hAnsi="Times New Roman" w:cs="Times New Roman"/>
          <w:sz w:val="24"/>
          <w:szCs w:val="24"/>
        </w:rPr>
        <w:t xml:space="preserve">coefficient for the </w:t>
      </w:r>
      <w:r w:rsidRPr="00225414">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would be positive</w:t>
      </w:r>
      <w:r>
        <w:rPr>
          <w:rFonts w:ascii="Times New Roman" w:eastAsiaTheme="minorEastAsia" w:hAnsi="Times New Roman" w:cs="Times New Roman"/>
          <w:sz w:val="24"/>
          <w:szCs w:val="24"/>
        </w:rPr>
        <w:t>.</w:t>
      </w:r>
      <w:r w:rsidR="00B84686">
        <w:rPr>
          <w:rFonts w:ascii="Times New Roman" w:eastAsiaTheme="minorEastAsia" w:hAnsi="Times New Roman" w:cs="Times New Roman"/>
          <w:sz w:val="24"/>
          <w:szCs w:val="24"/>
        </w:rPr>
        <w:t xml:space="preserve">  </w:t>
      </w:r>
      <w:r w:rsidR="003B251C">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proofErr w:type="gramStart"/>
      <w:r w:rsidR="00C432AF">
        <w:rPr>
          <w:rFonts w:ascii="Times New Roman" w:hAnsi="Times New Roman" w:cs="Times New Roman"/>
          <w:sz w:val="24"/>
          <w:szCs w:val="24"/>
        </w:rPr>
        <w:t>-2 log</w:t>
      </w:r>
      <w:proofErr w:type="gramEnd"/>
      <w:r w:rsidR="00C432AF">
        <w:rPr>
          <w:rFonts w:ascii="Times New Roman" w:hAnsi="Times New Roman" w:cs="Times New Roman"/>
          <w:sz w:val="24"/>
          <w:szCs w:val="24"/>
        </w:rPr>
        <w:t xml:space="preserve"> likelihood was reduced by 1735.289 from 1,774.455 to 9.166.  The </w:t>
      </w:r>
      <w:proofErr w:type="spellStart"/>
      <w:r w:rsidR="003B251C">
        <w:rPr>
          <w:rFonts w:ascii="Times New Roman" w:hAnsi="Times New Roman" w:cs="Times New Roman"/>
          <w:sz w:val="24"/>
          <w:szCs w:val="24"/>
        </w:rPr>
        <w:t>Hosemer-Lemeshow</w:t>
      </w:r>
      <w:proofErr w:type="spellEnd"/>
      <w:r w:rsidR="003B251C">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w:t>
      </w:r>
      <w:r w:rsidR="00F83DBE">
        <w:rPr>
          <w:rFonts w:ascii="Times New Roman" w:hAnsi="Times New Roman" w:cs="Times New Roman"/>
          <w:sz w:val="24"/>
          <w:szCs w:val="24"/>
        </w:rPr>
        <w:lastRenderedPageBreak/>
        <w:t>coefficients were significant.  Taken in whole, t</w:t>
      </w:r>
      <w:r w:rsidR="00C432AF">
        <w:rPr>
          <w:rFonts w:ascii="Times New Roman" w:hAnsi="Times New Roman" w:cs="Times New Roman"/>
          <w:sz w:val="24"/>
          <w:szCs w:val="24"/>
        </w:rPr>
        <w:t>hese results indicate that the model did NOT fit the data well.</w:t>
      </w:r>
      <w:r w:rsidR="002D3B1C">
        <w:rPr>
          <w:rFonts w:ascii="Times New Roman" w:hAnsi="Times New Roman" w:cs="Times New Roman"/>
          <w:sz w:val="24"/>
          <w:szCs w:val="24"/>
        </w:rPr>
        <w:t xml:space="preserve"> </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Pr>
          <w:rFonts w:ascii="Times New Roman" w:hAnsi="Times New Roman" w:cs="Times New Roman"/>
          <w:sz w:val="24"/>
          <w:szCs w:val="24"/>
        </w:rPr>
        <w:t>CRECmdnSplt</w:t>
      </w:r>
      <w:proofErr w:type="spellEnd"/>
      <w:r>
        <w:rPr>
          <w:rFonts w:ascii="Times New Roman" w:hAnsi="Times New Roman" w:cs="Times New Roman"/>
          <w:sz w:val="24"/>
          <w:szCs w:val="24"/>
        </w:rPr>
        <w:t xml:space="preserve"> as the dependent variable </w:t>
      </w:r>
      <w:r>
        <w:rPr>
          <w:rFonts w:ascii="Times New Roman" w:hAnsi="Times New Roman" w:cs="Times New Roman"/>
          <w:sz w:val="24"/>
          <w:szCs w:val="24"/>
        </w:rPr>
        <w:t xml:space="preserve">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t</w:t>
      </w:r>
      <w:r>
        <w:rPr>
          <w:rFonts w:ascii="Times New Roman" w:hAnsi="Times New Roman" w:cs="Times New Roman"/>
          <w:sz w:val="24"/>
          <w:szCs w:val="24"/>
        </w:rPr>
        <w:t xml:space="preserve">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9D406C">
        <w:rPr>
          <w:rFonts w:ascii="Times New Roman" w:hAnsi="Times New Roman" w:cs="Times New Roman"/>
          <w:sz w:val="24"/>
          <w:szCs w:val="24"/>
        </w:rPr>
        <w:t>Again, t</w:t>
      </w:r>
      <w:r w:rsidR="009D406C">
        <w:rPr>
          <w:rFonts w:ascii="Times New Roman" w:hAnsi="Times New Roman" w:cs="Times New Roman"/>
          <w:sz w:val="24"/>
          <w:szCs w:val="24"/>
        </w:rPr>
        <w:t>he hypothesis for this analysis was that the coefficients for each independent variable would not equal zero.  In mathematical terms this can be expressed as follows:</w:t>
      </w:r>
    </w:p>
    <w:p w:rsidR="009D406C" w:rsidRDefault="009D406C"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 Logit</w:t>
      </w:r>
      <w:r>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m:t>
        </m:r>
        <m:r>
          <w:rPr>
            <w:rFonts w:ascii="Cambria Math" w:hAnsi="Cambria Math" w:cs="Times New Roman"/>
            <w:sz w:val="24"/>
            <w:szCs w:val="24"/>
          </w:rPr>
          <m:t>mdnSplt</m:t>
        </m:r>
        <m:r>
          <w:rPr>
            <w:rFonts w:ascii="Cambria Math" w:hAnsi="Cambria Math" w:cs="Times New Roman"/>
            <w:sz w:val="24"/>
            <w:szCs w:val="24"/>
          </w:rPr>
          <m:t>=1</m:t>
        </m:r>
      </m:oMath>
      <w:r>
        <w:rPr>
          <w:rFonts w:ascii="Times New Roman" w:hAnsi="Times New Roman" w:cs="Times New Roman"/>
          <w:sz w:val="24"/>
          <w:szCs w:val="24"/>
        </w:rPr>
        <w:t>)</w:t>
      </w:r>
      <w:r w:rsidR="00EE0F65">
        <w:rPr>
          <w:rFonts w:ascii="Times New Roman"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D406C" w:rsidRPr="00024A7F" w:rsidRDefault="009D406C" w:rsidP="009D40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 β</w:t>
      </w:r>
      <w:r>
        <w:rPr>
          <w:rFonts w:ascii="Times New Roman" w:hAnsi="Times New Roman" w:cs="Times New Roman"/>
          <w:sz w:val="24"/>
          <w:szCs w:val="24"/>
          <w:vertAlign w:val="subscript"/>
        </w:rPr>
        <w:t>0</w:t>
      </w:r>
      <w:r>
        <w:rPr>
          <w:rFonts w:ascii="Times New Roman" w:hAnsi="Times New Roman" w:cs="Times New Roman"/>
          <w:sz w:val="24"/>
          <w:szCs w:val="24"/>
        </w:rPr>
        <w:t>…β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w:t>
      </w:r>
    </w:p>
    <w:p w:rsidR="002D3B1C" w:rsidRPr="002D3B1C" w:rsidRDefault="009D40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As before</w:t>
      </w:r>
      <w:r>
        <w:rPr>
          <w:rFonts w:ascii="Times New Roman" w:hAnsi="Times New Roman" w:cs="Times New Roman"/>
          <w:sz w:val="24"/>
          <w:szCs w:val="24"/>
        </w:rPr>
        <w:t>, it was specifically hypothesized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the coefficient for the ORIGINAL variable would be negative,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that is the coefficient for the GENERAL variable would be positive.</w:t>
      </w:r>
      <w:r>
        <w:rPr>
          <w:rFonts w:ascii="Times New Roman" w:eastAsiaTheme="minorEastAsia" w:hAnsi="Times New Roman" w:cs="Times New Roman"/>
          <w:sz w:val="24"/>
          <w:szCs w:val="24"/>
        </w:rPr>
        <w:t xml:space="preserve">  </w:t>
      </w:r>
      <w:r w:rsidR="002D3B1C">
        <w:rPr>
          <w:rFonts w:ascii="Times New Roman" w:hAnsi="Times New Roman" w:cs="Times New Roman"/>
          <w:sz w:val="24"/>
          <w:szCs w:val="24"/>
        </w:rPr>
        <w:t>Table 1 shows the results of the second binomial regression analysis.  In this case, coefficients for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w:t>
      </w:r>
      <w:r w:rsidR="002D3B1C">
        <w:rPr>
          <w:rFonts w:ascii="Times New Roman" w:hAnsi="Times New Roman" w:cs="Times New Roman"/>
          <w:sz w:val="24"/>
          <w:szCs w:val="24"/>
        </w:rPr>
        <w:t xml:space="preserve"> and</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and the </w:t>
      </w:r>
      <w:proofErr w:type="gramStart"/>
      <w:r w:rsidR="00A4286B">
        <w:rPr>
          <w:rFonts w:ascii="Times New Roman" w:hAnsi="Times New Roman" w:cs="Times New Roman"/>
          <w:sz w:val="24"/>
          <w:szCs w:val="24"/>
        </w:rPr>
        <w:t>-2 log</w:t>
      </w:r>
      <w:proofErr w:type="gramEnd"/>
      <w:r w:rsidR="00A4286B">
        <w:rPr>
          <w:rFonts w:ascii="Times New Roman" w:hAnsi="Times New Roman" w:cs="Times New Roman"/>
          <w:sz w:val="24"/>
          <w:szCs w:val="24"/>
        </w:rPr>
        <w:t xml:space="preserve"> likelihood was reduced by 807.29 from 2,734.83 to 1,927.54.  </w:t>
      </w:r>
      <w:r w:rsidR="001224BF">
        <w:rPr>
          <w:rFonts w:ascii="Times New Roman" w:hAnsi="Times New Roman" w:cs="Times New Roman"/>
          <w:sz w:val="24"/>
          <w:szCs w:val="24"/>
        </w:rPr>
        <w:t xml:space="preserve">The </w:t>
      </w:r>
      <w:proofErr w:type="spellStart"/>
      <w:r w:rsidR="001224BF">
        <w:rPr>
          <w:rFonts w:ascii="Times New Roman" w:hAnsi="Times New Roman" w:cs="Times New Roman"/>
          <w:sz w:val="24"/>
          <w:szCs w:val="24"/>
        </w:rPr>
        <w:t>Hosemer-Lemeshow</w:t>
      </w:r>
      <w:proofErr w:type="spellEnd"/>
      <w:r w:rsidR="001224BF">
        <w:rPr>
          <w:rFonts w:ascii="Times New Roman" w:hAnsi="Times New Roman" w:cs="Times New Roman"/>
          <w:sz w:val="24"/>
          <w:szCs w:val="24"/>
        </w:rPr>
        <w:t xml:space="preserve"> goodness of fit test produced a p value less than 0.001, which indicates that the lack of fit 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 xml:space="preserve">s efficient in predicting whether a patent received more than the median number of citations (i.e., whether the knowledge contained in the patent is transferred </w:t>
      </w:r>
      <w:r w:rsidR="00A4286B">
        <w:rPr>
          <w:rFonts w:ascii="Times New Roman" w:hAnsi="Times New Roman" w:cs="Times New Roman"/>
          <w:sz w:val="24"/>
          <w:szCs w:val="24"/>
        </w:rPr>
        <w:lastRenderedPageBreak/>
        <w:t>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  Patents in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w:t>
      </w:r>
      <w:bookmarkStart w:id="0" w:name="_GoBack"/>
      <w:bookmarkEnd w:id="0"/>
      <w:r w:rsidR="00DB1A5A">
        <w:rPr>
          <w:rFonts w:ascii="Times New Roman" w:hAnsi="Times New Roman" w:cs="Times New Roman"/>
          <w:sz w:val="24"/>
          <w:szCs w:val="24"/>
        </w:rPr>
        <w:t xml:space="preserve"> the median number of citations than patents in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Pr="00E70B33" w:rsidRDefault="00E70B33" w:rsidP="00E70B33">
      <w:pPr>
        <w:autoSpaceDE w:val="0"/>
        <w:autoSpaceDN w:val="0"/>
        <w:adjustRightInd w:val="0"/>
        <w:spacing w:after="0" w:line="480" w:lineRule="auto"/>
        <w:rPr>
          <w:rFonts w:ascii="Times New Roman" w:hAnsi="Times New Roman" w:cs="Times New Roman"/>
          <w:sz w:val="24"/>
          <w:szCs w:val="24"/>
        </w:rPr>
      </w:pPr>
    </w:p>
    <w:sectPr w:rsidR="00E70B33" w:rsidRPr="00E70B3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28" w:rsidRDefault="00CC1328" w:rsidP="00ED3A93">
      <w:pPr>
        <w:spacing w:after="0" w:line="240" w:lineRule="auto"/>
      </w:pPr>
      <w:r>
        <w:separator/>
      </w:r>
    </w:p>
  </w:endnote>
  <w:endnote w:type="continuationSeparator" w:id="0">
    <w:p w:rsidR="00CC1328" w:rsidRDefault="00CC132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28" w:rsidRDefault="00CC1328" w:rsidP="00ED3A93">
      <w:pPr>
        <w:spacing w:after="0" w:line="240" w:lineRule="auto"/>
      </w:pPr>
      <w:r>
        <w:separator/>
      </w:r>
    </w:p>
  </w:footnote>
  <w:footnote w:type="continuationSeparator" w:id="0">
    <w:p w:rsidR="00CC1328" w:rsidRDefault="00CC1328"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224BF">
      <w:rPr>
        <w:rFonts w:ascii="Times New Roman" w:hAnsi="Times New Roman" w:cs="Times New Roman"/>
        <w:noProof/>
        <w:sz w:val="24"/>
      </w:rPr>
      <w:t>15</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224B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4997"/>
    <w:rsid w:val="000F3B07"/>
    <w:rsid w:val="00107729"/>
    <w:rsid w:val="00117834"/>
    <w:rsid w:val="00121BA5"/>
    <w:rsid w:val="001224BF"/>
    <w:rsid w:val="00135A7B"/>
    <w:rsid w:val="001418B7"/>
    <w:rsid w:val="00145FC5"/>
    <w:rsid w:val="00167167"/>
    <w:rsid w:val="00173668"/>
    <w:rsid w:val="00176833"/>
    <w:rsid w:val="00183221"/>
    <w:rsid w:val="001928A1"/>
    <w:rsid w:val="001A16FC"/>
    <w:rsid w:val="001C6060"/>
    <w:rsid w:val="001D6329"/>
    <w:rsid w:val="001F264D"/>
    <w:rsid w:val="00205B2C"/>
    <w:rsid w:val="00225414"/>
    <w:rsid w:val="00231164"/>
    <w:rsid w:val="00231217"/>
    <w:rsid w:val="00250EC3"/>
    <w:rsid w:val="002531CD"/>
    <w:rsid w:val="00264174"/>
    <w:rsid w:val="00267CD3"/>
    <w:rsid w:val="002829D7"/>
    <w:rsid w:val="0028689B"/>
    <w:rsid w:val="00287689"/>
    <w:rsid w:val="002A0CBE"/>
    <w:rsid w:val="002B1431"/>
    <w:rsid w:val="002B2828"/>
    <w:rsid w:val="002B7C17"/>
    <w:rsid w:val="002C2374"/>
    <w:rsid w:val="002D3B1C"/>
    <w:rsid w:val="002F6471"/>
    <w:rsid w:val="002F7B59"/>
    <w:rsid w:val="00304149"/>
    <w:rsid w:val="0030442E"/>
    <w:rsid w:val="0031708C"/>
    <w:rsid w:val="00321890"/>
    <w:rsid w:val="00336F16"/>
    <w:rsid w:val="003435C2"/>
    <w:rsid w:val="00347B6E"/>
    <w:rsid w:val="0035422A"/>
    <w:rsid w:val="003609A8"/>
    <w:rsid w:val="00362D86"/>
    <w:rsid w:val="00362E63"/>
    <w:rsid w:val="00362FE5"/>
    <w:rsid w:val="00366F74"/>
    <w:rsid w:val="0038554A"/>
    <w:rsid w:val="0039402D"/>
    <w:rsid w:val="00395942"/>
    <w:rsid w:val="003B251C"/>
    <w:rsid w:val="003C5450"/>
    <w:rsid w:val="003D0077"/>
    <w:rsid w:val="003E0BF0"/>
    <w:rsid w:val="003E1969"/>
    <w:rsid w:val="003E6CE7"/>
    <w:rsid w:val="00435D1E"/>
    <w:rsid w:val="0044284E"/>
    <w:rsid w:val="00452D79"/>
    <w:rsid w:val="004635D5"/>
    <w:rsid w:val="004642A8"/>
    <w:rsid w:val="00465009"/>
    <w:rsid w:val="00492BB0"/>
    <w:rsid w:val="004A2BFE"/>
    <w:rsid w:val="004A6A74"/>
    <w:rsid w:val="004B002C"/>
    <w:rsid w:val="004D2674"/>
    <w:rsid w:val="004E7F37"/>
    <w:rsid w:val="005054D2"/>
    <w:rsid w:val="00515BF4"/>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E6816"/>
    <w:rsid w:val="00811F0D"/>
    <w:rsid w:val="0082229D"/>
    <w:rsid w:val="00826F36"/>
    <w:rsid w:val="00834CA6"/>
    <w:rsid w:val="0084229F"/>
    <w:rsid w:val="00853D7F"/>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4360"/>
    <w:rsid w:val="0096042E"/>
    <w:rsid w:val="00974F5C"/>
    <w:rsid w:val="00993EDF"/>
    <w:rsid w:val="009A0387"/>
    <w:rsid w:val="009A5720"/>
    <w:rsid w:val="009C2122"/>
    <w:rsid w:val="009C33E3"/>
    <w:rsid w:val="009D12CE"/>
    <w:rsid w:val="009D2A67"/>
    <w:rsid w:val="009D406C"/>
    <w:rsid w:val="009D4B6F"/>
    <w:rsid w:val="009E16F8"/>
    <w:rsid w:val="009E4EAD"/>
    <w:rsid w:val="009E6B69"/>
    <w:rsid w:val="009F3399"/>
    <w:rsid w:val="009F4C9E"/>
    <w:rsid w:val="009F6BCA"/>
    <w:rsid w:val="00A004E7"/>
    <w:rsid w:val="00A00544"/>
    <w:rsid w:val="00A07262"/>
    <w:rsid w:val="00A11C25"/>
    <w:rsid w:val="00A14AAF"/>
    <w:rsid w:val="00A22D7F"/>
    <w:rsid w:val="00A317C8"/>
    <w:rsid w:val="00A4286B"/>
    <w:rsid w:val="00A56D78"/>
    <w:rsid w:val="00A60A48"/>
    <w:rsid w:val="00A95B39"/>
    <w:rsid w:val="00AA78A5"/>
    <w:rsid w:val="00AB1AD8"/>
    <w:rsid w:val="00AB4934"/>
    <w:rsid w:val="00AC2C6F"/>
    <w:rsid w:val="00AD2CB2"/>
    <w:rsid w:val="00AD469C"/>
    <w:rsid w:val="00AE2F9F"/>
    <w:rsid w:val="00AF129C"/>
    <w:rsid w:val="00AF3007"/>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B30EF"/>
    <w:rsid w:val="00BB72F2"/>
    <w:rsid w:val="00BB7F88"/>
    <w:rsid w:val="00BC5DF9"/>
    <w:rsid w:val="00BD4077"/>
    <w:rsid w:val="00BE372A"/>
    <w:rsid w:val="00BE3E25"/>
    <w:rsid w:val="00C05481"/>
    <w:rsid w:val="00C05AC4"/>
    <w:rsid w:val="00C1307D"/>
    <w:rsid w:val="00C27E3C"/>
    <w:rsid w:val="00C30FC4"/>
    <w:rsid w:val="00C42698"/>
    <w:rsid w:val="00C432AF"/>
    <w:rsid w:val="00C47E6E"/>
    <w:rsid w:val="00C61036"/>
    <w:rsid w:val="00C751B3"/>
    <w:rsid w:val="00C80754"/>
    <w:rsid w:val="00C816E9"/>
    <w:rsid w:val="00C84A5B"/>
    <w:rsid w:val="00C853DF"/>
    <w:rsid w:val="00C857AD"/>
    <w:rsid w:val="00C85C53"/>
    <w:rsid w:val="00CA20D7"/>
    <w:rsid w:val="00CC1328"/>
    <w:rsid w:val="00CC1A30"/>
    <w:rsid w:val="00CC5C60"/>
    <w:rsid w:val="00CD0227"/>
    <w:rsid w:val="00CD2E27"/>
    <w:rsid w:val="00CD7A61"/>
    <w:rsid w:val="00CF721C"/>
    <w:rsid w:val="00D02FEA"/>
    <w:rsid w:val="00D07D8F"/>
    <w:rsid w:val="00D127D6"/>
    <w:rsid w:val="00D1795C"/>
    <w:rsid w:val="00D226EC"/>
    <w:rsid w:val="00D24CDD"/>
    <w:rsid w:val="00D2614D"/>
    <w:rsid w:val="00D33AD0"/>
    <w:rsid w:val="00D34CAA"/>
    <w:rsid w:val="00D432EF"/>
    <w:rsid w:val="00D4639F"/>
    <w:rsid w:val="00D47073"/>
    <w:rsid w:val="00D6439B"/>
    <w:rsid w:val="00D66F80"/>
    <w:rsid w:val="00D859C5"/>
    <w:rsid w:val="00D86C5D"/>
    <w:rsid w:val="00D9514C"/>
    <w:rsid w:val="00DA2EC6"/>
    <w:rsid w:val="00DA45BC"/>
    <w:rsid w:val="00DA48A2"/>
    <w:rsid w:val="00DA6058"/>
    <w:rsid w:val="00DB1A5A"/>
    <w:rsid w:val="00DC3C6C"/>
    <w:rsid w:val="00DC4336"/>
    <w:rsid w:val="00DD1EAF"/>
    <w:rsid w:val="00DE193A"/>
    <w:rsid w:val="00DF028A"/>
    <w:rsid w:val="00DF4DF5"/>
    <w:rsid w:val="00E441F9"/>
    <w:rsid w:val="00E53AF5"/>
    <w:rsid w:val="00E543AC"/>
    <w:rsid w:val="00E7090D"/>
    <w:rsid w:val="00E70B33"/>
    <w:rsid w:val="00E83B6C"/>
    <w:rsid w:val="00E86DCB"/>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8135A"/>
    <w:rsid w:val="00F83DBE"/>
    <w:rsid w:val="00F8421B"/>
    <w:rsid w:val="00F92449"/>
    <w:rsid w:val="00F94A92"/>
    <w:rsid w:val="00F95DD2"/>
    <w:rsid w:val="00FB07C6"/>
    <w:rsid w:val="00FB663F"/>
    <w:rsid w:val="00FC1B6A"/>
    <w:rsid w:val="00FC680E"/>
    <w:rsid w:val="00FC6849"/>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EBED80"/>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25</Pages>
  <Words>5430</Words>
  <Characters>30953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306</cp:revision>
  <dcterms:created xsi:type="dcterms:W3CDTF">2018-09-18T16:55:00Z</dcterms:created>
  <dcterms:modified xsi:type="dcterms:W3CDTF">2019-07-14T20:26:00Z</dcterms:modified>
</cp:coreProperties>
</file>