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6"/>
          <w:szCs w:val="56"/>
        </w:rPr>
        <w:t xml:space="preserve">ASTRA</w:t>
      </w:r>
    </w:p>
    <w:p>
      <w:pPr>
        <w:spacing w:after="80" w:before="0"/>
        <w:jc w:val="center"/>
      </w:pPr>
      <w:r>
        <w:rPr>
          <w:rFonts w:ascii="Arial" w:cs="Arial" w:eastAsia="Arial" w:hAnsi="Arial"/>
          <w:b/>
          <w:bCs/>
          <w:color w:val="2E75B6"/>
          <w:sz w:val="40"/>
          <w:szCs w:val="40"/>
        </w:rPr>
        <w:t xml:space="preserve">Flora &amp; Fauna Generation</w:t>
      </w:r>
    </w:p>
    <w:p>
      <w:pPr>
        <w:spacing w:after="80" w:before="0"/>
        <w:jc w:val="center"/>
      </w:pPr>
      <w:r>
        <w:rPr>
          <w:rFonts w:ascii="Arial" w:cs="Arial" w:eastAsia="Arial" w:hAnsi="Arial"/>
          <w:color w:val="595959"/>
          <w:sz w:val="22"/>
          <w:szCs w:val="22"/>
        </w:rPr>
        <w:t xml:space="preserve">Design Discussion Document  |  May 2026  |  ASTRAvClaude3.1</w:t>
      </w:r>
    </w:p>
    <w:p>
      <w:pPr>
        <w:spacing w:after="400" w:before="0"/>
        <w:jc w:val="center"/>
      </w:pPr>
      <w:r>
        <w:rPr>
          <w:rFonts w:ascii="Arial" w:cs="Arial" w:eastAsia="Arial" w:hAnsi="Arial"/>
          <w:b/>
          <w:bCs/>
          <w:color w:val="C00000"/>
          <w:sz w:val="20"/>
          <w:szCs w:val="20"/>
        </w:rPr>
        <w:t xml:space="preserve">Status: Design Complete — Not Yet Implemented</w:t>
      </w:r>
    </w:p>
    <w:p>
      <w:pPr>
        <w:spacing w:after="60" w:before="60"/>
      </w:pPr>
      <w:r>
        <w:rPr>
          <w:rFonts w:ascii="Arial" w:cs="Arial" w:eastAsia="Arial" w:hAnsi="Arial"/>
          <w:b w:val="false"/>
          <w:bCs w:val="false"/>
          <w:i/>
          <w:iCs/>
          <w:color w:val="000000"/>
          <w:sz w:val="20"/>
          <w:szCs w:val="20"/>
        </w:rPr>
        <w:t xml:space="preserve">This document captures the design discussion held at the end of the v0.3.1 development session. It is intended as a complete reference for resuming flora and fauna generation in a future session. All decisions are recorded with their rationale; open questions are flagged for resolution before implementation begins.</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1.  Motivation &amp; Scope</w:t>
      </w:r>
    </w:p>
    <w:p>
      <w:pPr>
        <w:spacing w:after="60" w:before="60"/>
      </w:pPr>
      <w:r>
        <w:rPr>
          <w:rFonts w:ascii="Arial" w:cs="Arial" w:eastAsia="Arial" w:hAnsi="Arial"/>
          <w:b w:val="false"/>
          <w:bCs w:val="false"/>
          <w:i w:val="false"/>
          <w:iCs w:val="false"/>
          <w:color w:val="000000"/>
          <w:sz w:val="20"/>
          <w:szCs w:val="20"/>
        </w:rPr>
        <w:t xml:space="preserve">ASTRA's biosphere tier system (Microbial → Advanced) and trophic level caps are already output for every habitable body. Fauna_Data.json exists but is empty. The next major development target is populating that scaffold with actual biological content — flora archetypes and fauna archetypes per habitable body — housed in a biosphere{} block on the body's JSON output.</w:t>
      </w:r>
    </w:p>
    <w:p>
      <w:pPr>
        <w:spacing w:after="60" w:before="60"/>
      </w:pPr>
      <w:r>
        <w:rPr>
          <w:rFonts w:ascii="Arial" w:cs="Arial" w:eastAsia="Arial" w:hAnsi="Arial"/>
          <w:b w:val="false"/>
          <w:bCs w:val="false"/>
          <w:i w:val="false"/>
          <w:iCs w:val="false"/>
          <w:color w:val="000000"/>
          <w:sz w:val="20"/>
          <w:szCs w:val="20"/>
        </w:rPr>
        <w:t xml:space="preserve">The search run identified 43 complex multicellular systems from 1000 keys. These are the primary test seeds for biosphere generation — they have the richest ecological scaffolding and will exercise the most trophic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r>
              <w:rPr>
                <w:rFonts w:ascii="Arial" w:cs="Arial" w:eastAsia="Arial" w:hAnsi="Arial"/>
                <w:b/>
                <w:bCs/>
                <w:color w:val="2E75B6"/>
                <w:sz w:val="20"/>
                <w:szCs w:val="20"/>
              </w:rPr>
              <w:t xml:space="preserve">Core design principle</w:t>
            </w:r>
          </w:p>
          <w:p>
            <w:r>
              <w:rPr>
                <w:rFonts w:ascii="Arial" w:cs="Arial" w:eastAsia="Arial" w:hAnsi="Arial"/>
                <w:sz w:val="19"/>
                <w:szCs w:val="19"/>
              </w:rPr>
              <w:t xml:space="preserve">Flora and fauna generation must follow the same philosophy as the rest of ASTRA:</w:t>
            </w:r>
          </w:p>
          <w:p>
            <w:r>
              <w:rPr>
                <w:rFonts w:ascii="Arial" w:cs="Arial" w:eastAsia="Arial" w:hAnsi="Arial"/>
                <w:sz w:val="19"/>
                <w:szCs w:val="19"/>
              </w:rPr>
              <w:t xml:space="preserve">root everything in physical constraints, let complexity emerge.</w:t>
            </w:r>
          </w:p>
          <w:p>
            <w:r>
              <w:rPr>
                <w:rFonts w:ascii="Arial" w:cs="Arial" w:eastAsia="Arial" w:hAnsi="Arial"/>
                <w:sz w:val="19"/>
                <w:szCs w:val="19"/>
              </w:rPr>
              <w:t xml:space="preserve">The model should discover what life looks like on a world, not manufacture it.</w:t>
            </w:r>
          </w:p>
          <w:p>
            <w:r>
              <w:rPr>
                <w:rFonts w:ascii="Arial" w:cs="Arial" w:eastAsia="Arial" w:hAnsi="Arial"/>
                <w:sz w:val="19"/>
                <w:szCs w:val="19"/>
              </w:rPr>
              <w:t xml:space="preserve">Archetypes are driven by the world's data — gravity, temperature, atmosphere,</w:t>
            </w:r>
          </w:p>
          <w:p>
            <w:r>
              <w:rPr>
                <w:rFonts w:ascii="Arial" w:cs="Arial" w:eastAsia="Arial" w:hAnsi="Arial"/>
                <w:sz w:val="19"/>
                <w:szCs w:val="19"/>
              </w:rPr>
              <w:t xml:space="preserve">ocean coverage, energy source, biochemistry type — not by random creative selection.</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2.  Why Flora Must Come First</w:t>
      </w:r>
    </w:p>
    <w:p>
      <w:pPr>
        <w:spacing w:after="60" w:before="60"/>
      </w:pPr>
      <w:r>
        <w:rPr>
          <w:rFonts w:ascii="Arial" w:cs="Arial" w:eastAsia="Arial" w:hAnsi="Arial"/>
          <w:b w:val="false"/>
          <w:bCs w:val="false"/>
          <w:i w:val="false"/>
          <w:iCs w:val="false"/>
          <w:color w:val="000000"/>
          <w:sz w:val="20"/>
          <w:szCs w:val="20"/>
        </w:rPr>
        <w:t xml:space="preserve">Flora (primary producers) are the energetic foundation of any food web. Fauna cannot exist without a bottom trophic layer to consume. The generation order is therefore strictly:</w:t>
      </w:r>
    </w:p>
    <w:p>
      <w:pPr>
        <w:pStyle w:val="ListParagraph"/>
        <w:numPr>
          <w:ilvl w:val="0"/>
          <w:numId w:val="2"/>
        </w:numPr>
        <w:spacing w:after="40" w:before="40"/>
      </w:pPr>
      <w:r>
        <w:rPr>
          <w:rFonts w:ascii="Arial" w:cs="Arial" w:eastAsia="Arial" w:hAnsi="Arial"/>
          <w:b w:val="false"/>
          <w:bCs w:val="false"/>
          <w:sz w:val="20"/>
          <w:szCs w:val="20"/>
        </w:rPr>
        <w:t xml:space="preserve">Flora archetypes generated first, from physical world conditions.</w:t>
      </w:r>
    </w:p>
    <w:p>
      <w:pPr>
        <w:pStyle w:val="ListParagraph"/>
        <w:numPr>
          <w:ilvl w:val="0"/>
          <w:numId w:val="2"/>
        </w:numPr>
        <w:spacing w:after="40" w:before="40"/>
      </w:pPr>
      <w:r>
        <w:rPr>
          <w:rFonts w:ascii="Arial" w:cs="Arial" w:eastAsia="Arial" w:hAnsi="Arial"/>
          <w:b w:val="false"/>
          <w:bCs w:val="false"/>
          <w:sz w:val="20"/>
          <w:szCs w:val="20"/>
        </w:rPr>
        <w:t xml:space="preserve">Fauna archetypes generated second, using flora outputs as additional inputs.</w:t>
      </w:r>
    </w:p>
    <w:p>
      <w:pPr>
        <w:pStyle w:val="ListParagraph"/>
        <w:numPr>
          <w:ilvl w:val="0"/>
          <w:numId w:val="2"/>
        </w:numPr>
        <w:spacing w:after="40" w:before="40"/>
      </w:pPr>
      <w:r>
        <w:rPr>
          <w:rFonts w:ascii="Arial" w:cs="Arial" w:eastAsia="Arial" w:hAnsi="Arial"/>
          <w:b w:val="false"/>
          <w:bCs w:val="false"/>
          <w:sz w:val="20"/>
          <w:szCs w:val="20"/>
        </w:rPr>
        <w:t xml:space="preserve">Both housed in biosphere{} block per habitable body.</w:t>
      </w:r>
    </w:p>
    <w:p>
      <w:pPr>
        <w:spacing w:after="60" w:before="60"/>
      </w:pPr>
      <w:r>
        <w:rPr>
          <w:rFonts w:ascii="Arial" w:cs="Arial" w:eastAsia="Arial" w:hAnsi="Arial"/>
          <w:b w:val="false"/>
          <w:bCs w:val="false"/>
          <w:i w:val="false"/>
          <w:iCs w:val="false"/>
          <w:color w:val="000000"/>
          <w:sz w:val="20"/>
          <w:szCs w:val="20"/>
        </w:rPr>
        <w:t xml:space="preserve">This mirrors real ecology — every known complex biosphere on Earth rests on photosynthetic or chemosynthetic primary producers. The generator must respect this dependency chain.</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3.  The Representation Problem — What Is a 'Representative' Organism?</w:t>
      </w:r>
    </w:p>
    <w:p>
      <w:pPr>
        <w:spacing w:after="60" w:before="60"/>
      </w:pPr>
      <w:r>
        <w:rPr>
          <w:rFonts w:ascii="Arial" w:cs="Arial" w:eastAsia="Arial" w:hAnsi="Arial"/>
          <w:b w:val="false"/>
          <w:bCs w:val="false"/>
          <w:i w:val="false"/>
          <w:iCs w:val="false"/>
          <w:color w:val="000000"/>
          <w:sz w:val="20"/>
          <w:szCs w:val="20"/>
        </w:rPr>
        <w:t xml:space="preserve">The central design question was: how do we represent the average or most representative bioform of a planet? The naive answer — the most numerous organism — produces the wrong answer. On Earth, averaging by count gives nematodes or bacteria. By biomass alone, plants dominate at ~80%.</w:t>
      </w:r>
    </w:p>
    <w:p>
      <w:pPr>
        <w:spacing w:after="60" w:before="60"/>
      </w:pPr>
      <w:r>
        <w:rPr>
          <w:rFonts w:ascii="Arial" w:cs="Arial" w:eastAsia="Arial" w:hAnsi="Arial"/>
          <w:b w:val="false"/>
          <w:bCs w:val="false"/>
          <w:i w:val="false"/>
          <w:iCs w:val="false"/>
          <w:color w:val="000000"/>
          <w:sz w:val="20"/>
          <w:szCs w:val="20"/>
        </w:rPr>
        <w:t xml:space="preserve">The agreed answer is: dominant archetype by biomass at each trophic level. Not the most numerous, not the most intelligent — the form that most characterises what that trophic level does on that world.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Earth trophic level</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Dominant archetype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Why this, not others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producer</w:t>
            </w:r>
          </w:p>
        </w:tc>
        <w:tc>
          <w:tcPr>
            <w:tcW w:type="dxa" w:w="2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Photosynthetic plant / algae</w:t>
            </w:r>
          </w:p>
        </w:tc>
        <w:tc>
          <w:tcPr>
            <w:tcW w:type="dxa" w:w="4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~80% of Earth's biomass. Not bacteria (less biomass), not fungi (decomposers).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consumer</w:t>
            </w:r>
          </w:p>
        </w:tc>
        <w:tc>
          <w:tcPr>
            <w:tcW w:type="dxa" w:w="2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Herbivorous insect / grazer</w:t>
            </w:r>
          </w:p>
        </w:tc>
        <w:tc>
          <w:tcPr>
            <w:tcW w:type="dxa" w:w="4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Dominant by biomass in terrestrial and aquatic contexts.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Secondary consumer</w:t>
            </w:r>
          </w:p>
        </w:tc>
        <w:tc>
          <w:tcPr>
            <w:tcW w:type="dxa" w:w="2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Omnivorous mammal / fish</w:t>
            </w:r>
          </w:p>
        </w:tc>
        <w:tc>
          <w:tcPr>
            <w:tcW w:type="dxa" w:w="4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Characterises the generalist mid-trophic role.</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Apex predator</w:t>
            </w:r>
          </w:p>
        </w:tc>
        <w:tc>
          <w:tcPr>
            <w:tcW w:type="dxa" w:w="2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Large carnivore</w:t>
            </w:r>
          </w:p>
        </w:tc>
        <w:tc>
          <w:tcPr>
            <w:tcW w:type="dxa" w:w="4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Defines the top of the energy pyramid.</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Decomposer</w:t>
            </w:r>
          </w:p>
        </w:tc>
        <w:tc>
          <w:tcPr>
            <w:tcW w:type="dxa" w:w="2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Fungal / bacterial mat</w:t>
            </w:r>
          </w:p>
        </w:tc>
        <w:tc>
          <w:tcPr>
            <w:tcW w:type="dxa" w:w="4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Cross-cutting role, present at all levels.</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This is the framework ASTRA will use. Each trophic level up to the tier maximum gets one dominant archetype. The archetype captures the role and character of life at that level — what an alien observer would report back if asked what lives on a given world.</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4.  Flora Archetype Architecture</w:t>
      </w:r>
    </w:p>
    <w:p>
      <w:pPr>
        <w:pStyle w:val="Heading2"/>
        <w:spacing w:after="120" w:before="240"/>
      </w:pPr>
      <w:r>
        <w:rPr>
          <w:rFonts w:ascii="Arial" w:cs="Arial" w:eastAsia="Arial" w:hAnsi="Arial"/>
          <w:b/>
          <w:bCs/>
          <w:color w:val="2E75B6"/>
          <w:sz w:val="26"/>
          <w:szCs w:val="26"/>
        </w:rPr>
        <w:t xml:space="preserve">4.1  Energy Source Branch — the Primary Split</w:t>
      </w:r>
    </w:p>
    <w:p>
      <w:pPr>
        <w:spacing w:after="60" w:before="60"/>
      </w:pPr>
      <w:r>
        <w:rPr>
          <w:rFonts w:ascii="Arial" w:cs="Arial" w:eastAsia="Arial" w:hAnsi="Arial"/>
          <w:b w:val="false"/>
          <w:bCs w:val="false"/>
          <w:i w:val="false"/>
          <w:iCs w:val="false"/>
          <w:color w:val="000000"/>
          <w:sz w:val="20"/>
          <w:szCs w:val="20"/>
        </w:rPr>
        <w:t xml:space="preserve">Before anything else, flora generation branches on dominant_source from the energy subscore in habitability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dominant_source</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Flora strategy</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Analogue</w:t>
            </w:r>
          </w:p>
        </w:tc>
      </w:tr>
      <w:tr>
        <w:tc>
          <w:tcPr>
            <w:tcW w:type="dxa" w:w="1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stellar</w:t>
            </w:r>
          </w:p>
        </w:tc>
        <w:tc>
          <w:tcPr>
            <w:tcW w:type="dxa" w:w="3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Photosynthetic producers — energy from light</w:t>
            </w:r>
          </w:p>
        </w:tc>
        <w:tc>
          <w:tcPr>
            <w:tcW w:type="dxa" w:w="3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Earth surface plants, algae, cyanobacteria</w:t>
            </w:r>
          </w:p>
        </w:tc>
      </w:tr>
      <w:tr>
        <w:tc>
          <w:tcPr>
            <w:tcW w:type="dxa" w:w="1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tidal</w:t>
            </w:r>
          </w:p>
        </w:tc>
        <w:tc>
          <w:tcPr>
            <w:tcW w:type="dxa" w:w="3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Chemosynthetic producers — energy from chemical reactions</w:t>
            </w:r>
          </w:p>
        </w:tc>
        <w:tc>
          <w:tcPr>
            <w:tcW w:type="dxa" w:w="3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Deep-sea hydrothermal vent communities, Io-like volcanic worlds</w:t>
            </w:r>
          </w:p>
        </w:tc>
      </w:tr>
      <w:tr>
        <w:tc>
          <w:tcPr>
            <w:tcW w:type="dxa" w:w="1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both</w:t>
            </w:r>
          </w:p>
        </w:tc>
        <w:tc>
          <w:tcPr>
            <w:tcW w:type="dxa" w:w="3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Mixed ecosystem — both strategies viable simultaneously</w:t>
            </w:r>
          </w:p>
        </w:tc>
        <w:tc>
          <w:tcPr>
            <w:tcW w:type="dxa" w:w="3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Earth has surface photosynthesis AND deep-sea chemosynthesis</w:t>
            </w:r>
          </w:p>
        </w:tc>
      </w:tr>
    </w:tbl>
    <w:p>
      <w:pPr>
        <w:spacing w:after="80" w:before="80"/>
      </w:pPr>
      <w:r>
        <w:t xml:space="preserve"/>
      </w:r>
    </w:p>
    <w:p>
      <w:pPr>
        <w:spacing w:after="60" w:before="60"/>
      </w:pPr>
      <w:r>
        <w:rPr>
          <w:rFonts w:ascii="Arial" w:cs="Arial" w:eastAsia="Arial" w:hAnsi="Arial"/>
          <w:b/>
          <w:bCs/>
          <w:color w:val="C9A227"/>
          <w:sz w:val="18"/>
          <w:szCs w:val="18"/>
        </w:rPr>
        <w:t xml:space="preserve">⚑  The dominant_source field is already present in every body's habitability{}.Subscores{}.energy{} block. No new pipeline changes needed to access this.</w:t>
      </w:r>
    </w:p>
    <w:p>
      <w:pPr>
        <w:pStyle w:val="Heading2"/>
        <w:spacing w:after="120" w:before="240"/>
      </w:pPr>
      <w:r>
        <w:rPr>
          <w:rFonts w:ascii="Arial" w:cs="Arial" w:eastAsia="Arial" w:hAnsi="Arial"/>
          <w:b/>
          <w:bCs/>
          <w:color w:val="2E75B6"/>
          <w:sz w:val="26"/>
          <w:szCs w:val="26"/>
        </w:rPr>
        <w:t xml:space="preserve">4.2  Flora Archetype Fields</w:t>
      </w:r>
    </w:p>
    <w:p>
      <w:pPr>
        <w:spacing w:after="60" w:before="60"/>
      </w:pPr>
      <w:r>
        <w:rPr>
          <w:rFonts w:ascii="Arial" w:cs="Arial" w:eastAsia="Arial" w:hAnsi="Arial"/>
          <w:b w:val="false"/>
          <w:bCs w:val="false"/>
          <w:i w:val="false"/>
          <w:iCs w:val="false"/>
          <w:color w:val="000000"/>
          <w:sz w:val="20"/>
          <w:szCs w:val="20"/>
        </w:rPr>
        <w:t xml:space="preserve">Each archetype entry contains the following structured fields, all derived from physical world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Driven by</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trophic_role</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Always 'primary_producer' for flora</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metabolic_strategy</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'photosynthetic' / 'chemosynthetic' / 'mixotrophic'</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energy_source</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dominant_source from habitability energy subscore</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environment</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'aquatic' / 'terrestrial' / 'aerial' / 'subterranean'</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size_class</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'microscopic' / 'small' / 'medium' / 'large' / 'massive'</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body_plan</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e.g. 'colonial mat', 'branching filament', 'broad-leaf canopy', 'vent biofilm'</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pigmentation</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Star spectral class and irradiance spectrum</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key_adaptation</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Dominant physical condition — e.g. high gravity, low pressure, tidal heating</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biomass_dominance</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'dominant' / 'co-dominant' / 'minor'</w:t>
            </w:r>
          </w:p>
        </w:tc>
      </w:tr>
    </w:tbl>
    <w:p>
      <w:pPr>
        <w:pStyle w:val="Heading2"/>
        <w:spacing w:after="120" w:before="240"/>
      </w:pPr>
      <w:r>
        <w:rPr>
          <w:rFonts w:ascii="Arial" w:cs="Arial" w:eastAsia="Arial" w:hAnsi="Arial"/>
          <w:b/>
          <w:bCs/>
          <w:color w:val="2E75B6"/>
          <w:sz w:val="26"/>
          <w:szCs w:val="26"/>
        </w:rPr>
        <w:t xml:space="preserve">4.3  How Many Flora Archetypes Per World?</w:t>
      </w:r>
    </w:p>
    <w:p>
      <w:pPr>
        <w:spacing w:after="60" w:before="60"/>
      </w:pPr>
      <w:r>
        <w:rPr>
          <w:rFonts w:ascii="Arial" w:cs="Arial" w:eastAsia="Arial" w:hAnsi="Arial"/>
          <w:b w:val="false"/>
          <w:bCs w:val="false"/>
          <w:i w:val="false"/>
          <w:iCs w:val="false"/>
          <w:color w:val="000000"/>
          <w:sz w:val="20"/>
          <w:szCs w:val="20"/>
        </w:rPr>
        <w:t xml:space="preserve">One archetype is insufficient — Earth has distinct aquatic and terrestrial producer ecosystems. Too many becomes unwieldy. The agreed rule:</w:t>
      </w:r>
    </w:p>
    <w:p>
      <w:pPr>
        <w:pStyle w:val="ListParagraph"/>
        <w:numPr>
          <w:ilvl w:val="0"/>
          <w:numId w:val="2"/>
        </w:numPr>
        <w:spacing w:after="40" w:before="40"/>
      </w:pPr>
      <w:r>
        <w:rPr>
          <w:rFonts w:ascii="Arial" w:cs="Arial" w:eastAsia="Arial" w:hAnsi="Arial"/>
          <w:b w:val="false"/>
          <w:bCs w:val="false"/>
          <w:sz w:val="20"/>
          <w:szCs w:val="20"/>
        </w:rPr>
        <w:t xml:space="preserve">One primary archetype — the dominant producer by biomass.</w:t>
      </w:r>
    </w:p>
    <w:p>
      <w:pPr>
        <w:pStyle w:val="ListParagraph"/>
        <w:numPr>
          <w:ilvl w:val="0"/>
          <w:numId w:val="2"/>
        </w:numPr>
        <w:spacing w:after="40" w:before="40"/>
      </w:pPr>
      <w:r>
        <w:rPr>
          <w:rFonts w:ascii="Arial" w:cs="Arial" w:eastAsia="Arial" w:hAnsi="Arial"/>
          <w:b w:val="false"/>
          <w:bCs w:val="false"/>
          <w:sz w:val="20"/>
          <w:szCs w:val="20"/>
        </w:rPr>
        <w:t xml:space="preserve">Zero to two secondary archetypes — unlocked by ocean coverage and tectonic/volcanic conditions creating distinct ecological niches.</w:t>
      </w:r>
    </w:p>
    <w:p>
      <w:pPr>
        <w:pStyle w:val="ListParagraph"/>
        <w:numPr>
          <w:ilvl w:val="0"/>
          <w:numId w:val="3"/>
        </w:numPr>
        <w:spacing w:after="30" w:before="30"/>
      </w:pPr>
      <w:r>
        <w:rPr>
          <w:rFonts w:ascii="Arial" w:cs="Arial" w:eastAsia="Arial" w:hAnsi="Arial"/>
          <w:sz w:val="20"/>
          <w:szCs w:val="20"/>
        </w:rPr>
        <w:t xml:space="preserve">High ocean coverage (&gt;50%) + active tectonics → secondary aquatic archetype alongside terrestrial.</w:t>
      </w:r>
    </w:p>
    <w:p>
      <w:pPr>
        <w:pStyle w:val="ListParagraph"/>
        <w:numPr>
          <w:ilvl w:val="0"/>
          <w:numId w:val="3"/>
        </w:numPr>
        <w:spacing w:after="30" w:before="30"/>
      </w:pPr>
      <w:r>
        <w:rPr>
          <w:rFonts w:ascii="Arial" w:cs="Arial" w:eastAsia="Arial" w:hAnsi="Arial"/>
          <w:sz w:val="20"/>
          <w:szCs w:val="20"/>
        </w:rPr>
        <w:t xml:space="preserve">High volcanic activity + tidal flux &gt; 1 W/m² → secondary chemosynthetic vent archetype.</w:t>
      </w:r>
    </w:p>
    <w:p>
      <w:pPr>
        <w:pStyle w:val="ListParagraph"/>
        <w:numPr>
          <w:ilvl w:val="0"/>
          <w:numId w:val="3"/>
        </w:numPr>
        <w:spacing w:after="30" w:before="30"/>
      </w:pPr>
      <w:r>
        <w:rPr>
          <w:rFonts w:ascii="Arial" w:cs="Arial" w:eastAsia="Arial" w:hAnsi="Arial"/>
          <w:sz w:val="20"/>
          <w:szCs w:val="20"/>
        </w:rPr>
        <w:t xml:space="preserve">Both conditions → potentially two secondary archetypes, three total.</w:t>
      </w:r>
    </w:p>
    <w:p>
      <w:pPr>
        <w:pStyle w:val="Heading2"/>
        <w:spacing w:after="120" w:before="240"/>
      </w:pPr>
      <w:r>
        <w:rPr>
          <w:rFonts w:ascii="Arial" w:cs="Arial" w:eastAsia="Arial" w:hAnsi="Arial"/>
          <w:b/>
          <w:bCs/>
          <w:color w:val="2E75B6"/>
          <w:sz w:val="26"/>
          <w:szCs w:val="26"/>
        </w:rPr>
        <w:t xml:space="preserve">4.4  Physical Condition Mappings</w:t>
      </w:r>
    </w:p>
    <w:p>
      <w:pPr>
        <w:spacing w:after="60" w:before="60"/>
      </w:pPr>
      <w:r>
        <w:rPr>
          <w:rFonts w:ascii="Arial" w:cs="Arial" w:eastAsia="Arial" w:hAnsi="Arial"/>
          <w:b w:val="false"/>
          <w:bCs w:val="false"/>
          <w:i w:val="false"/>
          <w:iCs w:val="false"/>
          <w:color w:val="000000"/>
          <w:sz w:val="20"/>
          <w:szCs w:val="20"/>
        </w:rPr>
        <w:t xml:space="preserve">Each physical property maps to flora archetype characteristics. These mappings will be codified in Flora_Data.json: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Physical property</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Flora influence</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dominant_source (stellar)</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Photosynthetic strategy. Pigment type varies by star class — M-dwarf worlds use infrared-absorbing pigments, G-star worlds use chlorophyll-analogs.</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dominant_source (tidal)</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Chemosynthetic strategy. Sulfur-based or iron-oxidising metabolism depending on SO₂/H₂S in atmosphere.</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star_class (M vs G vs F)</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Light spectrum drives pigmentation. Red dwarf light is infrared-heavy — optimal pigments absorb near-IR, may appear black or deep red.</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ocean_coverage (high)</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Aquatic environment dominates. Mat-forming or filamentous body plans favoured. Continental producers secondary.</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ocean_coverage (low)</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Terrestrial environment dominates. Drought-resistant adaptations, water-storage structures.</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surface_gravity (high)</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Low, wide, dense body plans. Tall structures mechanically impossible. Broad mat or carpet forms.</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surface_gravity (low)</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Tall, spindly structures possible. Aerial or high-canopy forms viable.</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surface_pressure (high)</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Dense atmosphere supports larger body plans. More efficient gas exchange.</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surface_pressure (low)</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Small body plans. Adapted gas exchange mechanisms.</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volcanic_activity (high)</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Nutrient-rich environment from mineral upwelling. Chemosynthetic secondary producers likely.</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tidal_flux (&gt;1 W/m²)</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Chemosynthetic producers viable even without stellar irradiance. Vent biofilms, sulfur mats.</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biochemistry (ammonia)</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All metabolic strategies use ammonia as solvent. No water-based photosynthesis.</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biochemistry (methane)</w:t>
            </w:r>
          </w:p>
        </w:tc>
        <w:tc>
          <w:tcPr>
            <w:tcW w:type="dxa" w:w="63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Extremely slow metabolism. Simple, slow-growing producers. Acetylene-based chemistry likely.</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5.  Fauna Archetype Architecture</w:t>
      </w:r>
    </w:p>
    <w:p>
      <w:pPr>
        <w:pStyle w:val="Heading2"/>
        <w:spacing w:after="120" w:before="240"/>
      </w:pPr>
      <w:r>
        <w:rPr>
          <w:rFonts w:ascii="Arial" w:cs="Arial" w:eastAsia="Arial" w:hAnsi="Arial"/>
          <w:b/>
          <w:bCs/>
          <w:color w:val="2E75B6"/>
          <w:sz w:val="26"/>
          <w:szCs w:val="26"/>
        </w:rPr>
        <w:t xml:space="preserve">5.1  Trophic Chain Construction</w:t>
      </w:r>
    </w:p>
    <w:p>
      <w:pPr>
        <w:spacing w:after="60" w:before="60"/>
      </w:pPr>
      <w:r>
        <w:rPr>
          <w:rFonts w:ascii="Arial" w:cs="Arial" w:eastAsia="Arial" w:hAnsi="Arial"/>
          <w:b w:val="false"/>
          <w:bCs w:val="false"/>
          <w:i w:val="false"/>
          <w:iCs w:val="false"/>
          <w:color w:val="000000"/>
          <w:sz w:val="20"/>
          <w:szCs w:val="20"/>
        </w:rPr>
        <w:t xml:space="preserve">Fauna archetypes fill trophic levels above the primary producer, up to the maximum defined by the biosphere tier. Levels are filled strictly bottom-up — you cannot have a carnivore without a herbivore.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Biosphere tier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Max trophic levels</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Trophic chain</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Microbial</w:t>
            </w:r>
          </w:p>
        </w:tc>
        <w:tc>
          <w:tcPr>
            <w:tcW w:type="dxa" w:w="1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4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Producers + Decomposers only. No macroscopic consumers.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Simple Multicellular</w:t>
            </w:r>
          </w:p>
        </w:tc>
        <w:tc>
          <w:tcPr>
            <w:tcW w:type="dxa" w:w="1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4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Producers + Primary Consumers + Decomposers.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Complex Multicellular</w:t>
            </w:r>
          </w:p>
        </w:tc>
        <w:tc>
          <w:tcPr>
            <w:tcW w:type="dxa" w:w="1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w:t>
            </w:r>
          </w:p>
        </w:tc>
        <w:tc>
          <w:tcPr>
            <w:tcW w:type="dxa" w:w="4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Producers + Primary + Secondary Consumers + Decomposers.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Advanced</w:t>
            </w:r>
          </w:p>
        </w:tc>
        <w:tc>
          <w:tcPr>
            <w:tcW w:type="dxa" w:w="1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w:t>
            </w:r>
          </w:p>
        </w:tc>
        <w:tc>
          <w:tcPr>
            <w:tcW w:type="dxa" w:w="4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Full chain: Producers + Primary + Secondary + Apex + Decomposers.</w:t>
            </w:r>
          </w:p>
        </w:tc>
      </w:tr>
    </w:tbl>
    <w:p>
      <w:pPr>
        <w:spacing w:after="80" w:before="80"/>
      </w:pPr>
      <w:r>
        <w:t xml:space="preserve"/>
      </w:r>
    </w:p>
    <w:p>
      <w:pPr>
        <w:spacing w:after="60" w:before="60"/>
      </w:pPr>
      <w:r>
        <w:rPr>
          <w:rFonts w:ascii="Arial" w:cs="Arial" w:eastAsia="Arial" w:hAnsi="Arial"/>
          <w:b/>
          <w:bCs/>
          <w:color w:val="C9A227"/>
          <w:sz w:val="18"/>
          <w:szCs w:val="18"/>
        </w:rPr>
        <w:t xml:space="preserve">⚑  Decomposer is a cross-cutting role present at all tiers above Microbial. It is not a trophic level per se but a functional role that should be represented as its own archetype.</w:t>
      </w:r>
    </w:p>
    <w:p>
      <w:pPr>
        <w:pStyle w:val="Heading2"/>
        <w:spacing w:after="120" w:before="240"/>
      </w:pPr>
      <w:r>
        <w:rPr>
          <w:rFonts w:ascii="Arial" w:cs="Arial" w:eastAsia="Arial" w:hAnsi="Arial"/>
          <w:b/>
          <w:bCs/>
          <w:color w:val="2E75B6"/>
          <w:sz w:val="26"/>
          <w:szCs w:val="26"/>
        </w:rPr>
        <w:t xml:space="preserve">5.2  Fauna Archetype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Driven by</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trophic_role</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'primary_consumer' / 'secondary_consumer' / 'apex_predator' / 'decomposer' / 'omnivore'</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metabolic_strategy</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Derived from biochemistry type of the world</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environment</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Inherited from flora archetype at level below — aquatic consumers for aquatic producers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size_class</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Scales with trophic level — higher levels trend larger; gravity caps maximum size</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body_plan</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e.g. 'colonial filter-feeder', 'armoured grazer', 'pack predator', 'sessile absorber'</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locomotion</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'sessile' / 'crawling' / 'swimming' / 'walking' / 'flying'</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key_adaptation</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Dominant selective pressure — e.g. 'pressure-resistant exoskeleton', 'thermal insulation'</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prey_archetype</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Reference to the archetype at the trophic level below</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biomass_dominance</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5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'dominant' / 'co-dominant' / 'minor'</w:t>
            </w:r>
          </w:p>
        </w:tc>
      </w:tr>
    </w:tbl>
    <w:p>
      <w:pPr>
        <w:pStyle w:val="Heading2"/>
        <w:spacing w:after="120" w:before="240"/>
      </w:pPr>
      <w:r>
        <w:rPr>
          <w:rFonts w:ascii="Arial" w:cs="Arial" w:eastAsia="Arial" w:hAnsi="Arial"/>
          <w:b/>
          <w:bCs/>
          <w:color w:val="2E75B6"/>
          <w:sz w:val="26"/>
          <w:szCs w:val="26"/>
        </w:rPr>
        <w:t xml:space="preserve">5.3  Fauna Constraint Cascade</w:t>
      </w:r>
    </w:p>
    <w:p>
      <w:pPr>
        <w:spacing w:after="60" w:before="60"/>
      </w:pPr>
      <w:r>
        <w:rPr>
          <w:rFonts w:ascii="Arial" w:cs="Arial" w:eastAsia="Arial" w:hAnsi="Arial"/>
          <w:b w:val="false"/>
          <w:bCs w:val="false"/>
          <w:i w:val="false"/>
          <w:iCs w:val="false"/>
          <w:color w:val="000000"/>
          <w:sz w:val="20"/>
          <w:szCs w:val="20"/>
        </w:rPr>
        <w:t xml:space="preserve">Each fauna archetype is constrained by the archetype below it AND the physical world conditions:</w:t>
      </w:r>
    </w:p>
    <w:p>
      <w:pPr>
        <w:pStyle w:val="ListParagraph"/>
        <w:numPr>
          <w:ilvl w:val="0"/>
          <w:numId w:val="2"/>
        </w:numPr>
        <w:spacing w:after="40" w:before="40"/>
      </w:pPr>
      <w:r>
        <w:rPr>
          <w:rFonts w:ascii="Arial" w:cs="Arial" w:eastAsia="Arial" w:hAnsi="Arial"/>
          <w:b w:val="false"/>
          <w:bCs w:val="false"/>
          <w:sz w:val="20"/>
          <w:szCs w:val="20"/>
        </w:rPr>
        <w:t xml:space="preserve">Environment is inherited from the dominant flora archetype — aquatic flora produces aquatic primary consumers.</w:t>
      </w:r>
    </w:p>
    <w:p>
      <w:pPr>
        <w:pStyle w:val="ListParagraph"/>
        <w:numPr>
          <w:ilvl w:val="0"/>
          <w:numId w:val="2"/>
        </w:numPr>
        <w:spacing w:after="40" w:before="40"/>
      </w:pPr>
      <w:r>
        <w:rPr>
          <w:rFonts w:ascii="Arial" w:cs="Arial" w:eastAsia="Arial" w:hAnsi="Arial"/>
          <w:b w:val="false"/>
          <w:bCs w:val="false"/>
          <w:sz w:val="20"/>
          <w:szCs w:val="20"/>
        </w:rPr>
        <w:t xml:space="preserve">Size class is gravity-constrained — high-gravity worlds cap maximum organism size. Low-gravity worlds allow larger forms.</w:t>
      </w:r>
    </w:p>
    <w:p>
      <w:pPr>
        <w:pStyle w:val="ListParagraph"/>
        <w:numPr>
          <w:ilvl w:val="0"/>
          <w:numId w:val="2"/>
        </w:numPr>
        <w:spacing w:after="40" w:before="40"/>
      </w:pPr>
      <w:r>
        <w:rPr>
          <w:rFonts w:ascii="Arial" w:cs="Arial" w:eastAsia="Arial" w:hAnsi="Arial"/>
          <w:b w:val="false"/>
          <w:bCs w:val="false"/>
          <w:sz w:val="20"/>
          <w:szCs w:val="20"/>
        </w:rPr>
        <w:t xml:space="preserve">Locomotion is constrained by pressure, gravity, and environment — aerial locomotion requires sufficient atmosphere, swimming requires liquid coverage.</w:t>
      </w:r>
    </w:p>
    <w:p>
      <w:pPr>
        <w:pStyle w:val="ListParagraph"/>
        <w:numPr>
          <w:ilvl w:val="0"/>
          <w:numId w:val="2"/>
        </w:numPr>
        <w:spacing w:after="40" w:before="40"/>
      </w:pPr>
      <w:r>
        <w:rPr>
          <w:rFonts w:ascii="Arial" w:cs="Arial" w:eastAsia="Arial" w:hAnsi="Arial"/>
          <w:b w:val="false"/>
          <w:bCs w:val="false"/>
          <w:sz w:val="20"/>
          <w:szCs w:val="20"/>
        </w:rPr>
        <w:t xml:space="preserve">Metabolism inherits from the world's biochemistry type — ammonia-world fauna use ammonia-based biochemistry throughout.</w:t>
      </w:r>
    </w:p>
    <w:p>
      <w:pPr>
        <w:pStyle w:val="ListParagraph"/>
        <w:numPr>
          <w:ilvl w:val="0"/>
          <w:numId w:val="2"/>
        </w:numPr>
        <w:spacing w:after="40" w:before="40"/>
      </w:pPr>
      <w:r>
        <w:rPr>
          <w:rFonts w:ascii="Arial" w:cs="Arial" w:eastAsia="Arial" w:hAnsi="Arial"/>
          <w:b w:val="false"/>
          <w:bCs w:val="false"/>
          <w:sz w:val="20"/>
          <w:szCs w:val="20"/>
        </w:rPr>
        <w:t xml:space="preserve">Body plan complexity is capped by trophic level — apex predators have more differentiation than primary consumers.</w:t>
      </w:r>
    </w:p>
    <w:p>
      <w:pPr>
        <w:pStyle w:val="Heading2"/>
        <w:spacing w:after="120" w:before="240"/>
      </w:pPr>
      <w:r>
        <w:rPr>
          <w:rFonts w:ascii="Arial" w:cs="Arial" w:eastAsia="Arial" w:hAnsi="Arial"/>
          <w:b/>
          <w:bCs/>
          <w:color w:val="2E75B6"/>
          <w:sz w:val="26"/>
          <w:szCs w:val="26"/>
        </w:rPr>
        <w:t xml:space="preserve">5.4  The Chemolithotrophic Special Case</w:t>
      </w:r>
    </w:p>
    <w:p>
      <w:pPr>
        <w:spacing w:after="60" w:before="60"/>
      </w:pPr>
      <w:r>
        <w:rPr>
          <w:rFonts w:ascii="Arial" w:cs="Arial" w:eastAsia="Arial" w:hAnsi="Arial"/>
          <w:b w:val="false"/>
          <w:bCs w:val="false"/>
          <w:i w:val="false"/>
          <w:iCs w:val="false"/>
          <w:color w:val="000000"/>
          <w:sz w:val="20"/>
          <w:szCs w:val="20"/>
        </w:rPr>
        <w:t xml:space="preserve">Worlds scoring via chemolithotrophic biochemistry (tidal energy dominant, vent-based) have a compressed trophic structure compared to photosynthetic worlds. Reference: deep-sea vent ecosystems on Earth are simpler than surface ecosystems.</w:t>
      </w:r>
    </w:p>
    <w:p>
      <w:pPr>
        <w:pStyle w:val="ListParagraph"/>
        <w:numPr>
          <w:ilvl w:val="0"/>
          <w:numId w:val="2"/>
        </w:numPr>
        <w:spacing w:after="40" w:before="40"/>
      </w:pPr>
      <w:r>
        <w:rPr>
          <w:rFonts w:ascii="Arial" w:cs="Arial" w:eastAsia="Arial" w:hAnsi="Arial"/>
          <w:b w:val="false"/>
          <w:bCs w:val="false"/>
          <w:sz w:val="20"/>
          <w:szCs w:val="20"/>
        </w:rPr>
        <w:t xml:space="preserve">Vent producer: sulfur-oxidising or methanogenic biofilm — the base archetype.</w:t>
      </w:r>
    </w:p>
    <w:p>
      <w:pPr>
        <w:pStyle w:val="ListParagraph"/>
        <w:numPr>
          <w:ilvl w:val="0"/>
          <w:numId w:val="2"/>
        </w:numPr>
        <w:spacing w:after="40" w:before="40"/>
      </w:pPr>
      <w:r>
        <w:rPr>
          <w:rFonts w:ascii="Arial" w:cs="Arial" w:eastAsia="Arial" w:hAnsi="Arial"/>
          <w:b w:val="false"/>
          <w:bCs w:val="false"/>
          <w:sz w:val="20"/>
          <w:szCs w:val="20"/>
        </w:rPr>
        <w:t xml:space="preserve">Primary consumer: filter-feeding or grazing invertebrate-analog feeding directly on vent biofilm.</w:t>
      </w:r>
    </w:p>
    <w:p>
      <w:pPr>
        <w:pStyle w:val="ListParagraph"/>
        <w:numPr>
          <w:ilvl w:val="0"/>
          <w:numId w:val="2"/>
        </w:numPr>
        <w:spacing w:after="40" w:before="40"/>
      </w:pPr>
      <w:r>
        <w:rPr>
          <w:rFonts w:ascii="Arial" w:cs="Arial" w:eastAsia="Arial" w:hAnsi="Arial"/>
          <w:b w:val="false"/>
          <w:bCs w:val="false"/>
          <w:sz w:val="20"/>
          <w:szCs w:val="20"/>
        </w:rPr>
        <w:t xml:space="preserve">Secondary consumer: limited — energy budget at depth constrains higher trophic levels.</w:t>
      </w:r>
    </w:p>
    <w:p>
      <w:pPr>
        <w:pStyle w:val="ListParagraph"/>
        <w:numPr>
          <w:ilvl w:val="0"/>
          <w:numId w:val="2"/>
        </w:numPr>
        <w:spacing w:after="40" w:before="40"/>
      </w:pPr>
      <w:r>
        <w:rPr>
          <w:rFonts w:ascii="Arial" w:cs="Arial" w:eastAsia="Arial" w:hAnsi="Arial"/>
          <w:b w:val="false"/>
          <w:bCs w:val="false"/>
          <w:sz w:val="20"/>
          <w:szCs w:val="20"/>
        </w:rPr>
        <w:t xml:space="preserve">Decomposer: bacteria/archaea analogs recycling organic material back to mineral form.</w:t>
      </w:r>
    </w:p>
    <w:p>
      <w:pPr>
        <w:spacing w:after="60" w:before="60"/>
      </w:pPr>
      <w:r>
        <w:rPr>
          <w:rFonts w:ascii="Arial" w:cs="Arial" w:eastAsia="Arial" w:hAnsi="Arial"/>
          <w:b w:val="false"/>
          <w:bCs w:val="false"/>
          <w:i w:val="false"/>
          <w:iCs w:val="false"/>
          <w:color w:val="000000"/>
          <w:sz w:val="20"/>
          <w:szCs w:val="20"/>
        </w:rPr>
        <w:t xml:space="preserve">The complexity_potential of 0.2 for chemolithotrophic biochemistry already caps biosphere score, limiting these worlds to Microbial or Simple Multicellular tiers. This is consistent with the expected compressed trophic structure.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6.  Data File Architecture</w:t>
      </w:r>
    </w:p>
    <w:p>
      <w:pPr>
        <w:pStyle w:val="Heading2"/>
        <w:spacing w:after="120" w:before="240"/>
      </w:pPr>
      <w:r>
        <w:rPr>
          <w:rFonts w:ascii="Arial" w:cs="Arial" w:eastAsia="Arial" w:hAnsi="Arial"/>
          <w:b/>
          <w:bCs/>
          <w:color w:val="2E75B6"/>
          <w:sz w:val="26"/>
          <w:szCs w:val="26"/>
        </w:rPr>
        <w:t xml:space="preserve">6.1  Why Two Separate Files?</w:t>
      </w:r>
    </w:p>
    <w:p>
      <w:pPr>
        <w:spacing w:after="60" w:before="60"/>
      </w:pPr>
      <w:r>
        <w:rPr>
          <w:rFonts w:ascii="Arial" w:cs="Arial" w:eastAsia="Arial" w:hAnsi="Arial"/>
          <w:b w:val="false"/>
          <w:bCs w:val="false"/>
          <w:i w:val="false"/>
          <w:iCs w:val="false"/>
          <w:color w:val="000000"/>
          <w:sz w:val="20"/>
          <w:szCs w:val="20"/>
        </w:rPr>
        <w:t xml:space="preserve">Flora and fauna generation have distinct lookup table structures. Combining them in Fauna_Data.json would produce a single large file with mixed concerns. The agreed architecture:</w:t>
      </w:r>
    </w:p>
    <w:p>
      <w:pPr>
        <w:pStyle w:val="ListParagraph"/>
        <w:numPr>
          <w:ilvl w:val="0"/>
          <w:numId w:val="2"/>
        </w:numPr>
        <w:spacing w:after="40" w:before="40"/>
      </w:pPr>
      <w:r>
        <w:rPr>
          <w:rFonts w:ascii="Arial" w:cs="Arial" w:eastAsia="Arial" w:hAnsi="Arial"/>
          <w:b w:val="false"/>
          <w:bCs w:val="false"/>
          <w:sz w:val="20"/>
          <w:szCs w:val="20"/>
        </w:rPr>
        <w:t xml:space="preserve">Flora_Data.json — metabolic strategy tables, body plan tables by environment × gravity × size, adaptation tables, pigmentation tables by stellar class.</w:t>
      </w:r>
    </w:p>
    <w:p>
      <w:pPr>
        <w:pStyle w:val="ListParagraph"/>
        <w:numPr>
          <w:ilvl w:val="0"/>
          <w:numId w:val="2"/>
        </w:numPr>
        <w:spacing w:after="40" w:before="40"/>
      </w:pPr>
      <w:r>
        <w:rPr>
          <w:rFonts w:ascii="Arial" w:cs="Arial" w:eastAsia="Arial" w:hAnsi="Arial"/>
          <w:b w:val="false"/>
          <w:bCs w:val="false"/>
          <w:sz w:val="20"/>
          <w:szCs w:val="20"/>
        </w:rPr>
        <w:t xml:space="preserve">Fauna_Data.json — trophic role definitions, locomotion constraint tables, size class × gravity tables, body plan tables by trophic level × environment.</w:t>
      </w:r>
    </w:p>
    <w:p>
      <w:pPr>
        <w:spacing w:after="60" w:before="60"/>
      </w:pPr>
      <w:r>
        <w:rPr>
          <w:rFonts w:ascii="Arial" w:cs="Arial" w:eastAsia="Arial" w:hAnsi="Arial"/>
          <w:b/>
          <w:bCs/>
          <w:color w:val="C9A227"/>
          <w:sz w:val="18"/>
          <w:szCs w:val="18"/>
        </w:rPr>
        <w:t xml:space="preserve">⚑  Fauna_Data.json currently exists but is empty. Flora_Data.json does not yet exist and will need to be created.</w:t>
      </w:r>
    </w:p>
    <w:p>
      <w:pPr>
        <w:pStyle w:val="Heading2"/>
        <w:spacing w:after="120" w:before="240"/>
      </w:pPr>
      <w:r>
        <w:rPr>
          <w:rFonts w:ascii="Arial" w:cs="Arial" w:eastAsia="Arial" w:hAnsi="Arial"/>
          <w:b/>
          <w:bCs/>
          <w:color w:val="2E75B6"/>
          <w:sz w:val="26"/>
          <w:szCs w:val="26"/>
        </w:rPr>
        <w:t xml:space="preserve">6.2  Flora_Data.json Schema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Contents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metabolic_strategies{}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Conditions mapping to photosynthetic / chemosynthetic / mixotrophic. Keyed by dominant_source and supplementary conditions.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pigmentation_by_star{}</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Star class → pigment type and colour description. O/B/A → UV-adapted, G → chlorophyll-analog, K → red-shifted, M → infrared-absorbing.</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body_plans_aquatic[]</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Body plan options for aquatic environment × size class × metabolic strategy.</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body_plans_terrestrial[]</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Body plan options for terrestrial environment × size class × gravity class.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adaptations{}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Physical condition → adaptation descriptor. e.g. high_gravity → 'pressure-reinforced cell walls', low_pressure → 'expanded gas exchange surfaces'.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size_class_thresholds{}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Gravity ranges mapping to viable size classes. High gravity prevents massive/large classes.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niche_triggers{}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Conditions that unlock secondary flora archetypes. Ocean coverage threshold, volcanic activity level, tidal flux threshold.</w:t>
            </w:r>
          </w:p>
        </w:tc>
      </w:tr>
    </w:tbl>
    <w:p>
      <w:pPr>
        <w:pStyle w:val="Heading2"/>
        <w:spacing w:after="120" w:before="240"/>
      </w:pPr>
      <w:r>
        <w:rPr>
          <w:rFonts w:ascii="Arial" w:cs="Arial" w:eastAsia="Arial" w:hAnsi="Arial"/>
          <w:b/>
          <w:bCs/>
          <w:color w:val="2E75B6"/>
          <w:sz w:val="26"/>
          <w:szCs w:val="26"/>
        </w:rPr>
        <w:t xml:space="preserve">6.3  Fauna_Data.json Schema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Contents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trophic_roles{}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Role definitions — what each level consumes, how it interacts with levels above and below.</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locomotion_constraints{}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Environment × gravity × pressure → viable locomotion types.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body_plans{}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Trophic level × environment × size class → body plan options.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size_scaling{}</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Trophic level modifier for size class — higher levels trend larger within gravity constraints.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chemolith_special{}</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Compressed trophic templates for chemolithotrophic worlds.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adaptation_library{}</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Physical condition → adaptation descriptor. Shared reference with flora adaptations where applicable.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7.  Output Structure — biosphere{} Block</w:t>
      </w:r>
    </w:p>
    <w:p>
      <w:pPr>
        <w:spacing w:after="60" w:before="60"/>
      </w:pPr>
      <w:r>
        <w:rPr>
          <w:rFonts w:ascii="Arial" w:cs="Arial" w:eastAsia="Arial" w:hAnsi="Arial"/>
          <w:b w:val="false"/>
          <w:bCs w:val="false"/>
          <w:i w:val="false"/>
          <w:iCs w:val="false"/>
          <w:color w:val="000000"/>
          <w:sz w:val="20"/>
          <w:szCs w:val="20"/>
        </w:rPr>
        <w:t xml:space="preserve">The biosphere{} block sits on each habitable body, generated after habitability scoring confirms tier. It replaces nothing in the existing output — it is an addition to the body 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Contents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biosphere.energy_basis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'stellar' / 'tidal' / 'mixed' — primary energy source driving the biosphere</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biosphere.flora[]</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List of flora archetype dicts (1–3 entries). Primary archetype first.</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biosphere.fauna[]</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List of fauna archetype dicts (1 per occupied trophic level above primary producer).</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biosphere.trophic_levels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Count of occupied trophic levels (matches biosphere_potential.max_trophic_levels).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biosphere.dominant_biochem</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Biochemistry type key from habitability — drives all metabolic strategy choices downstream.</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8.  Generation Module</w:t>
      </w:r>
    </w:p>
    <w:p>
      <w:pPr>
        <w:spacing w:after="60" w:before="60"/>
      </w:pPr>
      <w:r>
        <w:rPr>
          <w:rFonts w:ascii="Arial" w:cs="Arial" w:eastAsia="Arial" w:hAnsi="Arial"/>
          <w:b w:val="false"/>
          <w:bCs w:val="false"/>
          <w:i w:val="false"/>
          <w:iCs w:val="false"/>
          <w:color w:val="000000"/>
          <w:sz w:val="20"/>
          <w:szCs w:val="20"/>
        </w:rPr>
        <w:t xml:space="preserve">Flora and fauna generation will live in a new AstraClass/biosphere.py module. It is substantial enough to warrant its own module rather than extending habitability.py.</w:t>
      </w:r>
    </w:p>
    <w:p>
      <w:pPr>
        <w:pStyle w:val="ListParagraph"/>
        <w:numPr>
          <w:ilvl w:val="0"/>
          <w:numId w:val="2"/>
        </w:numPr>
        <w:spacing w:after="40" w:before="40"/>
      </w:pPr>
      <w:r>
        <w:rPr>
          <w:rFonts w:ascii="Arial" w:cs="Arial" w:eastAsia="Arial" w:hAnsi="Arial"/>
          <w:b w:val="false"/>
          <w:bCs w:val="false"/>
          <w:sz w:val="20"/>
          <w:szCs w:val="20"/>
        </w:rPr>
        <w:t xml:space="preserve">GenerateFlora(body, star) — takes the fully generated body dict and star dict. Returns flora[] list.</w:t>
      </w:r>
    </w:p>
    <w:p>
      <w:pPr>
        <w:pStyle w:val="ListParagraph"/>
        <w:numPr>
          <w:ilvl w:val="0"/>
          <w:numId w:val="2"/>
        </w:numPr>
        <w:spacing w:after="40" w:before="40"/>
      </w:pPr>
      <w:r>
        <w:rPr>
          <w:rFonts w:ascii="Arial" w:cs="Arial" w:eastAsia="Arial" w:hAnsi="Arial"/>
          <w:b w:val="false"/>
          <w:bCs w:val="false"/>
          <w:sz w:val="20"/>
          <w:szCs w:val="20"/>
        </w:rPr>
        <w:t xml:space="preserve">GenerateFauna(body, flora, star) — takes body dict, generated flora list, and star dict. Returns fauna[] list.</w:t>
      </w:r>
    </w:p>
    <w:p>
      <w:pPr>
        <w:pStyle w:val="ListParagraph"/>
        <w:numPr>
          <w:ilvl w:val="0"/>
          <w:numId w:val="2"/>
        </w:numPr>
        <w:spacing w:after="40" w:before="40"/>
      </w:pPr>
      <w:r>
        <w:rPr>
          <w:rFonts w:ascii="Arial" w:cs="Arial" w:eastAsia="Arial" w:hAnsi="Arial"/>
          <w:b w:val="false"/>
          <w:bCs w:val="false"/>
          <w:sz w:val="20"/>
          <w:szCs w:val="20"/>
        </w:rPr>
        <w:t xml:space="preserve">GenerateBiosphere(body, star) — master function. Calls GenerateFlora then GenerateFauna. Returns biosphere{} dict.</w:t>
      </w:r>
    </w:p>
    <w:p>
      <w:pPr>
        <w:spacing w:after="60" w:before="60"/>
      </w:pPr>
      <w:r>
        <w:rPr>
          <w:rFonts w:ascii="Arial" w:cs="Arial" w:eastAsia="Arial" w:hAnsi="Arial"/>
          <w:b w:val="false"/>
          <w:bCs w:val="false"/>
          <w:i w:val="false"/>
          <w:iCs w:val="false"/>
          <w:color w:val="000000"/>
          <w:sz w:val="20"/>
          <w:szCs w:val="20"/>
        </w:rPr>
        <w:t xml:space="preserve">In generator.py, GenerateBiosphere() is called at the end of generate_body() for bodies with biosphere tier in LIFE_TIERS. Belt dwarfs and giants do not receive biosphere blocks.</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9.  Open Questions — Resolve Before Implementation</w:t>
      </w:r>
    </w:p>
    <w:p>
      <w:pPr>
        <w:spacing w:after="60" w:before="60"/>
      </w:pPr>
      <w:r>
        <w:rPr>
          <w:rFonts w:ascii="Arial" w:cs="Arial" w:eastAsia="Arial" w:hAnsi="Arial"/>
          <w:b/>
          <w:bCs/>
          <w:color w:val="4B0082"/>
          <w:sz w:val="18"/>
          <w:szCs w:val="18"/>
        </w:rPr>
        <w:t xml:space="preserve">?  Should flora and fauna descriptors be purely structured data (tags and categories) or include a short natural language description field? The GUI goal suggests the latter is valuable — a one-sentence description of the archetype that could be displayed in a body profile panel.</w:t>
      </w:r>
    </w:p>
    <w:p>
      <w:pPr>
        <w:spacing w:after="60" w:before="60"/>
      </w:pPr>
      <w:r>
        <w:rPr>
          <w:rFonts w:ascii="Arial" w:cs="Arial" w:eastAsia="Arial" w:hAnsi="Arial"/>
          <w:b/>
          <w:bCs/>
          <w:color w:val="4B0082"/>
          <w:sz w:val="18"/>
          <w:szCs w:val="18"/>
        </w:rPr>
        <w:t xml:space="preserve">?  Should the decomposer role be explicitly modelled as a separate archetype with its own body plan and adaptation fields, or treated as implicit background ecology with just a label?</w:t>
      </w:r>
    </w:p>
    <w:p>
      <w:pPr>
        <w:spacing w:after="60" w:before="60"/>
      </w:pPr>
      <w:r>
        <w:rPr>
          <w:rFonts w:ascii="Arial" w:cs="Arial" w:eastAsia="Arial" w:hAnsi="Arial"/>
          <w:b/>
          <w:bCs/>
          <w:color w:val="4B0082"/>
          <w:sz w:val="18"/>
          <w:szCs w:val="18"/>
        </w:rPr>
        <w:t xml:space="preserve">?  For the chemosynthetic worlds — how much does the trophic structure actually compress? Earth's vent communities have 2–3 levels. Should ASTRA enforce a hard cap of 2 trophic levels for purely chemolithotrophic worlds regardless of biosphere score?</w:t>
      </w:r>
    </w:p>
    <w:p>
      <w:pPr>
        <w:spacing w:after="60" w:before="60"/>
      </w:pPr>
      <w:r>
        <w:rPr>
          <w:rFonts w:ascii="Arial" w:cs="Arial" w:eastAsia="Arial" w:hAnsi="Arial"/>
          <w:b/>
          <w:bCs/>
          <w:color w:val="4B0082"/>
          <w:sz w:val="18"/>
          <w:szCs w:val="18"/>
        </w:rPr>
        <w:t xml:space="preserve">?  Naming — should generated archetypes receive procedural taxonomic-style names (e.g. 'Thermovorus gigantus') or purely descriptive labels? Named organisms make the GUI more vivid. This was flagged as a potential Phase 2 addition.</w:t>
      </w:r>
    </w:p>
    <w:p>
      <w:pPr>
        <w:spacing w:after="60" w:before="60"/>
      </w:pPr>
      <w:r>
        <w:rPr>
          <w:rFonts w:ascii="Arial" w:cs="Arial" w:eastAsia="Arial" w:hAnsi="Arial"/>
          <w:b/>
          <w:bCs/>
          <w:color w:val="4B0082"/>
          <w:sz w:val="18"/>
          <w:szCs w:val="18"/>
        </w:rPr>
        <w:t xml:space="preserve">?  Should the biosphere block include an estimated biomass figure per archetype, derived from trophic level efficiency (roughly 10% energy transfer per level is the standard ecological rule)?</w:t>
      </w:r>
    </w:p>
    <w:p>
      <w:pPr>
        <w:spacing w:after="60" w:before="60"/>
      </w:pPr>
      <w:r>
        <w:rPr>
          <w:rFonts w:ascii="Arial" w:cs="Arial" w:eastAsia="Arial" w:hAnsi="Arial"/>
          <w:b/>
          <w:bCs/>
          <w:color w:val="4B0082"/>
          <w:sz w:val="18"/>
          <w:szCs w:val="18"/>
        </w:rPr>
        <w:t xml:space="preserve">?  How should biochemistry type affect body plan options beyond metabolic strategy? An ammonia-world organism has different structural chemistry than a water-world organism — but modelling this requires more lookup table entries.</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10.  Test Strategy</w:t>
      </w:r>
    </w:p>
    <w:p>
      <w:pPr>
        <w:spacing w:after="60" w:before="60"/>
      </w:pPr>
      <w:r>
        <w:rPr>
          <w:rFonts w:ascii="Arial" w:cs="Arial" w:eastAsia="Arial" w:hAnsi="Arial"/>
          <w:b w:val="false"/>
          <w:bCs w:val="false"/>
          <w:i w:val="false"/>
          <w:iCs w:val="false"/>
          <w:color w:val="000000"/>
          <w:sz w:val="20"/>
          <w:szCs w:val="20"/>
        </w:rPr>
        <w:t xml:space="preserve">43 complex multicellular systems identified from the 1000-key search run. These are the primary test seeds. Suggested test progression:</w:t>
      </w:r>
    </w:p>
    <w:p>
      <w:pPr>
        <w:pStyle w:val="ListParagraph"/>
        <w:numPr>
          <w:ilvl w:val="0"/>
          <w:numId w:val="2"/>
        </w:numPr>
        <w:spacing w:after="40" w:before="40"/>
      </w:pPr>
      <w:r>
        <w:rPr>
          <w:rFonts w:ascii="Arial" w:cs="Arial" w:eastAsia="Arial" w:hAnsi="Arial"/>
          <w:b w:val="false"/>
          <w:bCs w:val="false"/>
          <w:sz w:val="20"/>
          <w:szCs w:val="20"/>
        </w:rPr>
        <w:t xml:space="preserve">Phase 1 — Flora only. Generate flora archetypes for all 43 seeds. Verify that physical conditions correctly drive metabolic strategy, pigmentation, and body plan selection. Check that secondary archetypes fire appropriately.</w:t>
      </w:r>
    </w:p>
    <w:p>
      <w:pPr>
        <w:pStyle w:val="ListParagraph"/>
        <w:numPr>
          <w:ilvl w:val="0"/>
          <w:numId w:val="2"/>
        </w:numPr>
        <w:spacing w:after="40" w:before="40"/>
      </w:pPr>
      <w:r>
        <w:rPr>
          <w:rFonts w:ascii="Arial" w:cs="Arial" w:eastAsia="Arial" w:hAnsi="Arial"/>
          <w:b w:val="false"/>
          <w:bCs w:val="false"/>
          <w:sz w:val="20"/>
          <w:szCs w:val="20"/>
        </w:rPr>
        <w:t xml:space="preserve">Phase 2 — Fauna chain. Add fauna generation for the 43 seeds. Verify trophic chain integrity (no carnivore without herbivore), size class scaling with gravity, locomotion constraints.</w:t>
      </w:r>
    </w:p>
    <w:p>
      <w:pPr>
        <w:pStyle w:val="ListParagraph"/>
        <w:numPr>
          <w:ilvl w:val="0"/>
          <w:numId w:val="2"/>
        </w:numPr>
        <w:spacing w:after="40" w:before="40"/>
      </w:pPr>
      <w:r>
        <w:rPr>
          <w:rFonts w:ascii="Arial" w:cs="Arial" w:eastAsia="Arial" w:hAnsi="Arial"/>
          <w:b w:val="false"/>
          <w:bCs w:val="false"/>
          <w:sz w:val="20"/>
          <w:szCs w:val="20"/>
        </w:rPr>
        <w:t xml:space="preserve">Phase 3 — Edge cases. Run chemolithotrophic worlds (M2-265456-5-M6 and similar). Verify compressed trophic structure. Run high-gravity super-Earths — verify size class capping.</w:t>
      </w:r>
    </w:p>
    <w:p>
      <w:pPr>
        <w:pStyle w:val="ListParagraph"/>
        <w:numPr>
          <w:ilvl w:val="0"/>
          <w:numId w:val="2"/>
        </w:numPr>
        <w:spacing w:after="40" w:before="40"/>
      </w:pPr>
      <w:r>
        <w:rPr>
          <w:rFonts w:ascii="Arial" w:cs="Arial" w:eastAsia="Arial" w:hAnsi="Arial"/>
          <w:b w:val="false"/>
          <w:bCs w:val="false"/>
          <w:sz w:val="20"/>
          <w:szCs w:val="20"/>
        </w:rPr>
        <w:t xml:space="preserve">Phase 4 — Full search re-run. Re-run the 1000-key search with biosphere generation active. Check that output is self-consistent and that no system produces biologically implausible combinations.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1"/>
              <w:left w:val="single" w:color="4B0082" w:sz="1"/>
              <w:bottom w:val="single" w:color="4B0082" w:sz="1"/>
              <w:right w:val="single" w:color="4B0082" w:sz="1"/>
            </w:tcBorders>
            <w:shd w:fill="EDE7F6" w:val="clear"/>
            <w:tcMar>
              <w:top w:type="dxa" w:w="100"/>
              <w:left w:type="dxa" w:w="160"/>
              <w:bottom w:type="dxa" w:w="100"/>
              <w:right w:type="dxa" w:w="160"/>
            </w:tcMar>
          </w:tcPr>
          <w:p>
            <w:r>
              <w:rPr>
                <w:rFonts w:ascii="Arial" w:cs="Arial" w:eastAsia="Arial" w:hAnsi="Arial"/>
                <w:b/>
                <w:bCs/>
                <w:color w:val="4B0082"/>
                <w:sz w:val="20"/>
                <w:szCs w:val="20"/>
              </w:rPr>
              <w:t xml:space="preserve">Key test seeds identified</w:t>
            </w:r>
          </w:p>
          <w:p>
            <w:r>
              <w:rPr>
                <w:rFonts w:ascii="Arial" w:cs="Arial" w:eastAsia="Arial" w:hAnsi="Arial"/>
                <w:sz w:val="19"/>
                <w:szCs w:val="19"/>
              </w:rPr>
              <w:t xml:space="preserve">BenjaminHayes  (K0-176362)  — Complex Multicellular, K-dwarf, 16°C, 22% ocean. Good baseline.</w:t>
            </w:r>
          </w:p>
          <w:p>
            <w:r>
              <w:rPr>
                <w:rFonts w:ascii="Arial" w:cs="Arial" w:eastAsia="Arial" w:hAnsi="Arial"/>
                <w:sz w:val="19"/>
                <w:szCs w:val="19"/>
              </w:rPr>
              <w:t xml:space="preserve">Glen           (M3-933245)  — Complex Multicellular outside Goldilocks. Greenhouse-dependent world.</w:t>
            </w:r>
          </w:p>
          <w:p>
            <w:r>
              <w:rPr>
                <w:rFonts w:ascii="Arial" w:cs="Arial" w:eastAsia="Arial" w:hAnsi="Arial"/>
                <w:sz w:val="19"/>
                <w:szCs w:val="19"/>
              </w:rPr>
              <w:t xml:space="preserve">alyssa         (M8-673071)  — Microbial. Good test for sparse biosphere generation.</w:t>
            </w:r>
          </w:p>
          <w:p>
            <w:r>
              <w:rPr>
                <w:rFonts w:ascii="Arial" w:cs="Arial" w:eastAsia="Arial" w:hAnsi="Arial"/>
                <w:sz w:val="19"/>
                <w:szCs w:val="19"/>
              </w:rPr>
              <w:t xml:space="preserve">M2-265456      (M2-265456)  — Chemolithotrophic moon M5-M6. Tests vent ecosystem pathway.</w:t>
            </w:r>
          </w:p>
          <w:p>
            <w:r>
              <w:rPr>
                <w:rFonts w:ascii="Arial" w:cs="Arial" w:eastAsia="Arial" w:hAnsi="Arial"/>
                <w:sz w:val="19"/>
                <w:szCs w:val="19"/>
              </w:rPr>
              <w:t xml:space="preserve">M4-884232      (M4-884232)  — Three habitable bodies in same system. Tests multi-world generation.</w:t>
            </w:r>
          </w:p>
        </w:tc>
      </w:tr>
    </w:tbl>
    <w:p>
      <w:pPr>
        <w:spacing w:after="80" w:before="80"/>
      </w:pPr>
      <w:r>
        <w:t xml:space="preserve"/>
      </w:r>
    </w:p>
    <w:p>
      <w:pPr>
        <w:spacing w:after="80" w:before="80"/>
      </w:pPr>
      <w:r>
        <w:t xml:space="preserve"/>
      </w:r>
    </w:p>
    <w:p>
      <w:pPr>
        <w:pBdr>
          <w:top w:val="single" w:color="2E75B6" w:sz="4" w:space="1"/>
        </w:pBdr>
        <w:spacing w:before="480"/>
        <w:jc w:val="center"/>
      </w:pPr>
      <w:r>
        <w:rPr>
          <w:rFonts w:ascii="Arial" w:cs="Arial" w:eastAsia="Arial" w:hAnsi="Arial"/>
          <w:i/>
          <w:iCs/>
          <w:color w:val="595959"/>
          <w:sz w:val="16"/>
          <w:szCs w:val="16"/>
        </w:rPr>
        <w:t xml:space="preserve">ASTRA  |  Flora &amp; Fauna Design Discussion  |  ASTRAvClaude3.1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2026-05-31T01:55:51.221Z</dcterms:created>
  <dcterms:modified xsi:type="dcterms:W3CDTF">2026-05-31T01:55:51.221Z</dcterms:modified>
</cp:coreProperties>
</file>

<file path=docProps/custom.xml><?xml version="1.0" encoding="utf-8"?>
<Properties xmlns="http://schemas.openxmlformats.org/officeDocument/2006/custom-properties" xmlns:vt="http://schemas.openxmlformats.org/officeDocument/2006/docPropsVTypes"/>
</file>