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3C5D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8"/>
              </w:rPr>
              <w:t>DocuAction AI</w:t>
            </w:r>
          </w:p>
          <w:p>
            <w:pPr>
              <w:jc w:val="center"/>
            </w:pPr>
            <w:r>
              <w:rPr>
                <w:rFonts w:ascii="Segoe UI" w:hAnsi="Segoe UI"/>
                <w:color w:val="FFFFFF"/>
                <w:sz w:val="22"/>
              </w:rPr>
              <w:t>Enterprise Intelligence Platform — HHS/TEFCA</w:t>
            </w:r>
          </w:p>
          <w:p/>
        </w:tc>
      </w:tr>
    </w:tbl>
    <w:p/>
    <w:p>
      <w:pPr>
        <w:jc w:val="center"/>
      </w:pPr>
      <w:r>
        <w:rPr>
          <w:rFonts w:ascii="Segoe UI" w:hAnsi="Segoe UI"/>
          <w:b/>
          <w:color w:val="0B3C5D"/>
          <w:sz w:val="40"/>
        </w:rPr>
        <w:t>Continuous Monitoring Strategy</w:t>
      </w:r>
    </w:p>
    <w:p>
      <w:pPr>
        <w:jc w:val="center"/>
      </w:pPr>
      <w:r>
        <w:rPr>
          <w:rFonts w:ascii="Segoe UI" w:hAnsi="Segoe UI"/>
          <w:color w:val="0078D4"/>
          <w:sz w:val="22"/>
        </w:rPr>
        <w:t>NIST SP 800-137 / 800-53 CA-7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System Name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DocuAction AI (TEFCA ARC)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July 20, 2026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Prepared For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U.S. Department of Health &amp; Human Services (HHS/ONC)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Controlled Unclassified Information (CUI)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rPr>
          <w:rFonts w:ascii="Segoe UI" w:hAnsi="Segoe UI"/>
          <w:sz w:val="21"/>
        </w:rPr>
        <w:t>This Continuous Monitoring (ConMon) Strategy establishes ongoing monitoring of the security controls implemented for the DocuAction AI platform in accordance with NIST SP 800-137 and NIST SP 800-53 control CA-7 (Continuous Monitoring). It maintains ongoing awareness of the system's security posture, threats, and control effectiveness to support the risk-based authorization decision throughout the system life cycle.</w:t>
      </w:r>
    </w:p>
    <w:p>
      <w:pPr>
        <w:pStyle w:val="Heading1"/>
      </w:pPr>
      <w:r>
        <w:t>2. Scope</w:t>
      </w:r>
    </w:p>
    <w:p>
      <w:r>
        <w:rPr>
          <w:rFonts w:ascii="Segoe UI" w:hAnsi="Segoe UI"/>
          <w:sz w:val="21"/>
        </w:rPr>
        <w:t>This strategy applies to all components within the DocuAction TEFCA ARC authorization boundary hosted on Microsoft Azure (East US 2): the App Service, PostgreSQL Flexible Server, Key Vault, Static Web App, system-assigned Managed Identity, and the Application Insights / Log Analytics monitoring plane, together with the interconnections to Microsoft Entra ID, Anthropic, and SendGrid.</w:t>
      </w:r>
    </w:p>
    <w:p>
      <w:pPr>
        <w:pStyle w:val="Heading1"/>
      </w:pPr>
      <w:r>
        <w:t>3. Monitoring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Name / Organization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System Owner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Imran Siddiqui, AGT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Owns the ConMon program; accepts residual risk; approves changes.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Designated by the System Owner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Executes monitoring activities; maintains the POA&amp;M; reports posture.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COR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Meley Gebresellassie, HHS/ONC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Government oversight; receives escalations and periodic reports.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COR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JaWanna Henry, HHS/ONC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Government oversight; receives escalations and periodic reports.</w:t>
            </w:r>
          </w:p>
        </w:tc>
      </w:tr>
    </w:tbl>
    <w:p/>
    <w:p>
      <w:pPr>
        <w:pStyle w:val="Heading1"/>
      </w:pPr>
      <w:r>
        <w:t>4. Monthly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Review Azure Monitor alerts and incidents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Alert history; incident tickets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Review Microsoft Defender for Cloud recommendations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Defender recommendations export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Review Defender Secure Score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Secure Score trend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Review failed authentication attempts (audit log)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audit_logs query (login_failed / login_blocked)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Review Key Vault access logs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KeyVault AuditEvent logs (Log Analytics)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Review Application Insights error rates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App Insights failures dashboard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Review + apply dependency security updates (Dependabot)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Developer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Merged Dependabot PRs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Verify backup integrity (PostgreSQL PITR test)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Cloud Admin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Restore-to-scratch evidence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Vulnerability scan of application endpoints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Scan report</w:t>
            </w:r>
          </w:p>
        </w:tc>
      </w:tr>
    </w:tbl>
    <w:p/>
    <w:p>
      <w:pPr>
        <w:pStyle w:val="Heading1"/>
      </w:pPr>
      <w:r>
        <w:t>5. Quarterly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User access review (authorized accounts; remove stale)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System Owner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Access-review attestation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RBAC role review (least privilege; no over-provisioning)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Role assignment export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Review and update POA&amp;M items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Updated POA&amp;M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Penetration test findings review (annual test, quarterly review)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Pen-test finding tracker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Config review vs CIS Azure Foundations Benchmark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CIS benchmark checklist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Review and rotate API keys / secrets in Key Vault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Cloud Admin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New secret versions in Key Vault</w:t>
            </w:r>
          </w:p>
        </w:tc>
      </w:tr>
    </w:tbl>
    <w:p/>
    <w:p>
      <w:pPr>
        <w:pStyle w:val="Heading1"/>
      </w:pPr>
      <w:r>
        <w:t>6. Annual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Contingency Plan tabletop exercise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System Owner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Security Assessment Plan (SAP) review and update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System Security Plan (SSP) annual review and update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Incident Response Plan (IRP) tabletop exercise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Risk assessment update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System Owner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Privacy Impact Assessment review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System Owner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Security awareness training verification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System Owner</w:t>
            </w:r>
          </w:p>
        </w:tc>
      </w:tr>
    </w:tbl>
    <w:p/>
    <w:p>
      <w:pPr>
        <w:pStyle w:val="Heading1"/>
      </w:pPr>
      <w:r>
        <w:t>7. Automated Monitoring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Microsoft Defender for Cloud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6 Standard plans; continuous vulnerability assessment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Azure Monitor Alerts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Availability, HTTP 5xx, CPU, database availability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Application Insights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Performance, error tracking, availability monitoring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Log Analytics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90-day centralized log retention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GitHub Dependabot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Automated dependency vulnerability detection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Audit trail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Immutable, append-only PostgreSQL audit_logs</w:t>
            </w:r>
          </w:p>
        </w:tc>
      </w:tr>
    </w:tbl>
    <w:p/>
    <w:p>
      <w:pPr>
        <w:pStyle w:val="Heading1"/>
      </w:pPr>
      <w:r>
        <w:t>8. Metrics and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Defender Secure Score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&gt;= 80%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Mean Time to Patch Critical Vulnerabilities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&lt; 48 hours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POA&amp;M items on schedule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100%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Monthly failed login attempts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Monitored for anomalies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Alert response time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&lt; 30 minutes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Uptime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&gt;= 99.5%</w:t>
            </w:r>
          </w:p>
        </w:tc>
      </w:tr>
    </w:tbl>
    <w:p/>
    <w:p>
      <w:r>
        <w:rPr>
          <w:rFonts w:ascii="Segoe UI" w:hAnsi="Segoe UI"/>
          <w:sz w:val="21"/>
        </w:rPr>
        <w:t>Metrics are compiled monthly by the ISSO and summarized to the System Owner and CORs; deviations from target trigger a POA&amp;M entry.</w:t>
      </w:r>
    </w:p>
    <w:p>
      <w:pPr>
        <w:pStyle w:val="Heading1"/>
      </w:pPr>
      <w:r>
        <w:t>9. Escalation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Notification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Severity 1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System down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Notify COR within 1 hour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Severity 2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Security incident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Notify COR within 1 hour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Severity 3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Degraded service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Notify COR within 4 hours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Severity 4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Informational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Include in the monthly report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8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 xml:space="preserve">Authority.  </w:t>
            </w:r>
            <w:r>
              <w:rPr>
                <w:rFonts w:ascii="Segoe UI" w:hAnsi="Segoe UI"/>
                <w:sz w:val="20"/>
              </w:rPr>
              <w:t>Federal notification timelines follow HHSAR 352.239-72; PHI breaches additionally follow HHS/HIPAA breach-notification requirements.</w:t>
            </w:r>
          </w:p>
        </w:tc>
      </w:tr>
    </w:tbl>
    <w:p/>
    <w:p>
      <w:pPr>
        <w:pStyle w:val="Heading1"/>
      </w:pPr>
      <w:r>
        <w:t>10. Plan Maintenance</w:t>
      </w:r>
    </w:p>
    <w:p>
      <w:r>
        <w:rPr>
          <w:rFonts w:ascii="Segoe UI" w:hAnsi="Segoe UI"/>
          <w:sz w:val="21"/>
        </w:rPr>
        <w:t>This strategy is reviewed at least annually and after any significant security incident. It is updated when security controls, Azure services, or compliance requirements change, and is re-approved by the System Owner.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05E5C"/>
        <w:sz w:val="15"/>
      </w:rPr>
      <w:t xml:space="preserve">DocuAction AI  |  Continuous Monitoring Strategy  |  Controlled Unclassified Information (CUI)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