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0B3C5D"/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48"/>
              </w:rPr>
              <w:t>DocuAction AI</w:t>
            </w:r>
          </w:p>
          <w:p>
            <w:pPr>
              <w:jc w:val="center"/>
            </w:pPr>
            <w:r>
              <w:rPr>
                <w:rFonts w:ascii="Segoe UI" w:hAnsi="Segoe UI"/>
                <w:color w:val="FFFFFF"/>
                <w:sz w:val="22"/>
              </w:rPr>
              <w:t>Enterprise Intelligence Platform — HHS/TEFCA</w:t>
            </w:r>
          </w:p>
          <w:p/>
        </w:tc>
      </w:tr>
    </w:tbl>
    <w:p/>
    <w:p>
      <w:pPr>
        <w:jc w:val="center"/>
      </w:pPr>
      <w:r>
        <w:rPr>
          <w:rFonts w:ascii="Segoe UI" w:hAnsi="Segoe UI"/>
          <w:b/>
          <w:color w:val="0B3C5D"/>
          <w:sz w:val="40"/>
        </w:rPr>
        <w:t>Disaster Recovery Validation Report</w:t>
      </w:r>
    </w:p>
    <w:p>
      <w:pPr>
        <w:jc w:val="center"/>
      </w:pPr>
      <w:r>
        <w:rPr>
          <w:rFonts w:ascii="Segoe UI" w:hAnsi="Segoe UI"/>
          <w:color w:val="0078D4"/>
          <w:sz w:val="22"/>
        </w:rPr>
        <w:t>Validation of Recoverability per the Contingency Plan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F2F6FB"/>
          </w:tcPr>
          <w:p>
            <w:r>
              <w:rPr>
                <w:rFonts w:ascii="Segoe UI" w:hAnsi="Segoe UI"/>
                <w:b/>
                <w:color w:val="0B3C5D"/>
                <w:sz w:val="20"/>
              </w:rPr>
              <w:t>System</w:t>
            </w:r>
          </w:p>
        </w:tc>
        <w:tc>
          <w:tcPr>
            <w:tcW w:type="dxa" w:w="4320"/>
          </w:tcPr>
          <w:p>
            <w:r>
              <w:rPr>
                <w:rFonts w:ascii="Segoe UI" w:hAnsi="Segoe UI"/>
                <w:sz w:val="20"/>
              </w:rPr>
              <w:t>DocuAction AI (TEFCA ARC)</w:t>
            </w:r>
          </w:p>
        </w:tc>
      </w:tr>
      <w:tr>
        <w:tc>
          <w:tcPr>
            <w:tcW w:type="dxa" w:w="4320"/>
            <w:shd w:val="clear" w:fill="F2F6FB"/>
          </w:tcPr>
          <w:p>
            <w:r>
              <w:rPr>
                <w:rFonts w:ascii="Segoe UI" w:hAnsi="Segoe UI"/>
                <w:b/>
                <w:color w:val="0B3C5D"/>
                <w:sz w:val="20"/>
              </w:rPr>
              <w:t>Date</w:t>
            </w:r>
          </w:p>
        </w:tc>
        <w:tc>
          <w:tcPr>
            <w:tcW w:type="dxa" w:w="4320"/>
          </w:tcPr>
          <w:p>
            <w:r>
              <w:rPr>
                <w:rFonts w:ascii="Segoe UI" w:hAnsi="Segoe UI"/>
                <w:sz w:val="20"/>
              </w:rPr>
              <w:t>July 20, 2026</w:t>
            </w:r>
          </w:p>
        </w:tc>
      </w:tr>
      <w:tr>
        <w:tc>
          <w:tcPr>
            <w:tcW w:type="dxa" w:w="4320"/>
            <w:shd w:val="clear" w:fill="F2F6FB"/>
          </w:tcPr>
          <w:p>
            <w:r>
              <w:rPr>
                <w:rFonts w:ascii="Segoe UI" w:hAnsi="Segoe UI"/>
                <w:b/>
                <w:color w:val="0B3C5D"/>
                <w:sz w:val="20"/>
              </w:rPr>
              <w:t>Test Type</w:t>
            </w:r>
          </w:p>
        </w:tc>
        <w:tc>
          <w:tcPr>
            <w:tcW w:type="dxa" w:w="4320"/>
          </w:tcPr>
          <w:p>
            <w:r>
              <w:rPr>
                <w:rFonts w:ascii="Segoe UI" w:hAnsi="Segoe UI"/>
                <w:sz w:val="20"/>
              </w:rPr>
              <w:t>Non-disruptive DR capability validation</w:t>
            </w:r>
          </w:p>
        </w:tc>
      </w:tr>
      <w:tr>
        <w:tc>
          <w:tcPr>
            <w:tcW w:type="dxa" w:w="4320"/>
            <w:shd w:val="clear" w:fill="F2F6FB"/>
          </w:tcPr>
          <w:p>
            <w:r>
              <w:rPr>
                <w:rFonts w:ascii="Segoe UI" w:hAnsi="Segoe UI"/>
                <w:b/>
                <w:color w:val="0B3C5D"/>
                <w:sz w:val="20"/>
              </w:rPr>
              <w:t>Classification</w:t>
            </w:r>
          </w:p>
        </w:tc>
        <w:tc>
          <w:tcPr>
            <w:tcW w:type="dxa" w:w="4320"/>
          </w:tcPr>
          <w:p>
            <w:r>
              <w:rPr>
                <w:rFonts w:ascii="Segoe UI" w:hAnsi="Segoe UI"/>
                <w:sz w:val="20"/>
              </w:rPr>
              <w:t>CUI</w:t>
            </w:r>
          </w:p>
        </w:tc>
      </w:tr>
    </w:tbl>
    <w:p>
      <w:r>
        <w:br w:type="page"/>
      </w:r>
    </w:p>
    <w:p>
      <w:pPr>
        <w:pStyle w:val="Heading1"/>
      </w:pPr>
      <w:r>
        <w:t>1. Purpose</w:t>
      </w:r>
    </w:p>
    <w:p>
      <w:r>
        <w:rPr>
          <w:rFonts w:ascii="Segoe UI" w:hAnsi="Segoe UI"/>
          <w:sz w:val="21"/>
        </w:rPr>
        <w:t>This report documents a non-disruptive validation of the DocuAction AI platform's disaster-recovery capabilities against the objectives in the Contingency Plan (RTO 4 hours, RPO 5 minutes). All tests were read-only or performed against scratch resources; production was not affected.</w:t>
      </w:r>
    </w:p>
    <w:p>
      <w:pPr>
        <w:pStyle w:val="Heading1"/>
      </w:pPr>
      <w:r>
        <w:t>2. Test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0B3C5D"/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Test</w:t>
            </w:r>
          </w:p>
        </w:tc>
        <w:tc>
          <w:tcPr>
            <w:tcW w:type="dxa" w:w="2160"/>
            <w:shd w:val="clear" w:fill="0B3C5D"/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2160"/>
            <w:shd w:val="clear" w:fill="0B3C5D"/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Evidence</w:t>
            </w:r>
          </w:p>
        </w:tc>
        <w:tc>
          <w:tcPr>
            <w:tcW w:type="dxa" w:w="2160"/>
            <w:shd w:val="clear" w:fill="0B3C5D"/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Gap</w:t>
            </w:r>
          </w:p>
        </w:tc>
      </w:tr>
      <w:tr>
        <w:tc>
          <w:tcPr>
            <w:tcW w:type="dxa" w:w="2160"/>
          </w:tcPr>
          <w:p>
            <w:r>
              <w:rPr>
                <w:rFonts w:ascii="Segoe UI" w:hAnsi="Segoe UI"/>
                <w:sz w:val="18"/>
              </w:rPr>
              <w:t>1. Database PITR</w:t>
            </w:r>
          </w:p>
        </w:tc>
        <w:tc>
          <w:tcPr>
            <w:tcW w:type="dxa" w:w="2160"/>
          </w:tcPr>
          <w:p>
            <w:r>
              <w:rPr>
                <w:rFonts w:ascii="Segoe UI" w:hAnsi="Segoe UI"/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rFonts w:ascii="Segoe UI" w:hAnsi="Segoe UI"/>
                <w:sz w:val="18"/>
              </w:rPr>
              <w:t>PostgreSQL Flexible Server backup retention = 7 days; earliest restore 2026-07-17T04:18Z; continuous point-in-time restore available.</w:t>
            </w:r>
          </w:p>
        </w:tc>
        <w:tc>
          <w:tcPr>
            <w:tcW w:type="dxa" w:w="2160"/>
          </w:tcPr>
          <w:p>
            <w:r>
              <w:rPr>
                <w:rFonts w:ascii="Segoe UI" w:hAnsi="Segoe UI"/>
                <w:sz w:val="18"/>
              </w:rPr>
              <w:t>Geo-redundant backup Disabled</w:t>
            </w:r>
          </w:p>
        </w:tc>
      </w:tr>
      <w:tr>
        <w:tc>
          <w:tcPr>
            <w:tcW w:type="dxa" w:w="2160"/>
            <w:shd w:val="clear" w:fill="F2F6FB"/>
          </w:tcPr>
          <w:p>
            <w:r>
              <w:rPr>
                <w:rFonts w:ascii="Segoe UI" w:hAnsi="Segoe UI"/>
                <w:sz w:val="18"/>
              </w:rPr>
              <w:t>2. Key Vault recovery</w:t>
            </w:r>
          </w:p>
        </w:tc>
        <w:tc>
          <w:tcPr>
            <w:tcW w:type="dxa" w:w="2160"/>
            <w:shd w:val="clear" w:fill="F2F6FB"/>
          </w:tcPr>
          <w:p>
            <w:r>
              <w:rPr>
                <w:rFonts w:ascii="Segoe UI" w:hAnsi="Segoe UI"/>
                <w:sz w:val="18"/>
              </w:rPr>
              <w:t>PASS</w:t>
            </w:r>
          </w:p>
        </w:tc>
        <w:tc>
          <w:tcPr>
            <w:tcW w:type="dxa" w:w="2160"/>
            <w:shd w:val="clear" w:fill="F2F6FB"/>
          </w:tcPr>
          <w:p>
            <w:r>
              <w:rPr>
                <w:rFonts w:ascii="Segoe UI" w:hAnsi="Segoe UI"/>
                <w:sz w:val="18"/>
              </w:rPr>
              <w:t>Soft-delete enabled; purge protection enabled; 90-day recovery retention.</w:t>
            </w:r>
          </w:p>
        </w:tc>
        <w:tc>
          <w:tcPr>
            <w:tcW w:type="dxa" w:w="2160"/>
            <w:shd w:val="clear" w:fill="F2F6FB"/>
          </w:tcPr>
          <w:p>
            <w:r>
              <w:rPr>
                <w:rFonts w:ascii="Segoe UI" w:hAnsi="Segoe UI"/>
                <w:sz w:val="18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rFonts w:ascii="Segoe UI" w:hAnsi="Segoe UI"/>
                <w:sz w:val="18"/>
              </w:rPr>
              <w:t>3. Source code recovery</w:t>
            </w:r>
          </w:p>
        </w:tc>
        <w:tc>
          <w:tcPr>
            <w:tcW w:type="dxa" w:w="2160"/>
          </w:tcPr>
          <w:p>
            <w:r>
              <w:rPr>
                <w:rFonts w:ascii="Segoe UI" w:hAnsi="Segoe UI"/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rFonts w:ascii="Segoe UI" w:hAnsi="Segoe UI"/>
                <w:sz w:val="18"/>
              </w:rPr>
              <w:t>GitHub origin/main current and in sync with local; full commit history; all hardening commits pushed.</w:t>
            </w:r>
          </w:p>
        </w:tc>
        <w:tc>
          <w:tcPr>
            <w:tcW w:type="dxa" w:w="2160"/>
          </w:tcPr>
          <w:p>
            <w:r>
              <w:rPr>
                <w:rFonts w:ascii="Segoe UI" w:hAnsi="Segoe UI"/>
                <w:sz w:val="18"/>
              </w:rPr>
              <w:t>None</w:t>
            </w:r>
          </w:p>
        </w:tc>
      </w:tr>
      <w:tr>
        <w:tc>
          <w:tcPr>
            <w:tcW w:type="dxa" w:w="2160"/>
            <w:shd w:val="clear" w:fill="F2F6FB"/>
          </w:tcPr>
          <w:p>
            <w:r>
              <w:rPr>
                <w:rFonts w:ascii="Segoe UI" w:hAnsi="Segoe UI"/>
                <w:sz w:val="18"/>
              </w:rPr>
              <w:t>4. App Service redeploy</w:t>
            </w:r>
          </w:p>
        </w:tc>
        <w:tc>
          <w:tcPr>
            <w:tcW w:type="dxa" w:w="2160"/>
            <w:shd w:val="clear" w:fill="F2F6FB"/>
          </w:tcPr>
          <w:p>
            <w:r>
              <w:rPr>
                <w:rFonts w:ascii="Segoe UI" w:hAnsi="Segoe UI"/>
                <w:sz w:val="18"/>
              </w:rPr>
              <w:t>PASS</w:t>
            </w:r>
          </w:p>
        </w:tc>
        <w:tc>
          <w:tcPr>
            <w:tcW w:type="dxa" w:w="2160"/>
            <w:shd w:val="clear" w:fill="F2F6FB"/>
          </w:tcPr>
          <w:p>
            <w:r>
              <w:rPr>
                <w:rFonts w:ascii="Segoe UI" w:hAnsi="Segoe UI"/>
                <w:sz w:val="18"/>
              </w:rPr>
              <w:t>Documented Kudu VFS + zip deploy method; deployed code matches origin/main; /health returns 200.</w:t>
            </w:r>
          </w:p>
        </w:tc>
        <w:tc>
          <w:tcPr>
            <w:tcW w:type="dxa" w:w="2160"/>
            <w:shd w:val="clear" w:fill="F2F6FB"/>
          </w:tcPr>
          <w:p>
            <w:r>
              <w:rPr>
                <w:rFonts w:ascii="Segoe UI" w:hAnsi="Segoe UI"/>
                <w:sz w:val="18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rFonts w:ascii="Segoe UI" w:hAnsi="Segoe UI"/>
                <w:sz w:val="18"/>
              </w:rPr>
              <w:t>5. Static Web App recovery</w:t>
            </w:r>
          </w:p>
        </w:tc>
        <w:tc>
          <w:tcPr>
            <w:tcW w:type="dxa" w:w="2160"/>
          </w:tcPr>
          <w:p>
            <w:r>
              <w:rPr>
                <w:rFonts w:ascii="Segoe UI" w:hAnsi="Segoe UI"/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rFonts w:ascii="Segoe UI" w:hAnsi="Segoe UI"/>
                <w:sz w:val="18"/>
              </w:rPr>
              <w:t>docuaction-frontend present; deployment token valid; redeployable from the GitHub repo build (token deploy).</w:t>
            </w:r>
          </w:p>
        </w:tc>
        <w:tc>
          <w:tcPr>
            <w:tcW w:type="dxa" w:w="2160"/>
          </w:tcPr>
          <w:p>
            <w:r>
              <w:rPr>
                <w:rFonts w:ascii="Segoe UI" w:hAnsi="Segoe UI"/>
                <w:sz w:val="18"/>
              </w:rPr>
              <w:t>No GitHub CI link (manual token deploy)</w:t>
            </w:r>
          </w:p>
        </w:tc>
      </w:tr>
    </w:tbl>
    <w:p/>
    <w:p>
      <w:pPr>
        <w:pStyle w:val="Heading1"/>
      </w:pPr>
      <w:r>
        <w:t>3. Recovery Capability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AF1F8"/>
          </w:tcPr>
          <w:p>
            <w:r>
              <w:rPr>
                <w:rFonts w:ascii="Segoe UI" w:hAnsi="Segoe UI"/>
                <w:b/>
                <w:color w:val="107C10"/>
                <w:sz w:val="20"/>
              </w:rPr>
              <w:t xml:space="preserve">RTO (target 4 hours): ACHIEVABLE.  </w:t>
            </w:r>
            <w:r>
              <w:rPr>
                <w:rFonts w:ascii="Segoe UI" w:hAnsi="Segoe UI"/>
                <w:sz w:val="20"/>
              </w:rPr>
              <w:t>Application redeploy from GitHub is minutes; database PITR restore completes well within the 4-hour objective for in-region recovery.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AF1F8"/>
          </w:tcPr>
          <w:p>
            <w:r>
              <w:rPr>
                <w:rFonts w:ascii="Segoe UI" w:hAnsi="Segoe UI"/>
                <w:b/>
                <w:color w:val="107C10"/>
                <w:sz w:val="20"/>
              </w:rPr>
              <w:t xml:space="preserve">RPO (target 5 minutes): ACHIEVABLE.  </w:t>
            </w:r>
            <w:r>
              <w:rPr>
                <w:rFonts w:ascii="Segoe UI" w:hAnsi="Segoe UI"/>
                <w:sz w:val="20"/>
              </w:rPr>
              <w:t>PostgreSQL continuous (transaction-log) point-in-time restore yields a recovery point of seconds-to-minutes, within the 5-minute objective.</w:t>
            </w:r>
          </w:p>
        </w:tc>
      </w:tr>
    </w:tbl>
    <w:p/>
    <w:p>
      <w:pPr>
        <w:pStyle w:val="Heading1"/>
      </w:pPr>
      <w:r>
        <w:t>4. Findings and Recommendations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0B3C5D"/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#</w:t>
            </w:r>
          </w:p>
        </w:tc>
        <w:tc>
          <w:tcPr>
            <w:tcW w:type="dxa" w:w="2160"/>
            <w:shd w:val="clear" w:fill="0B3C5D"/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Finding</w:t>
            </w:r>
          </w:p>
        </w:tc>
        <w:tc>
          <w:tcPr>
            <w:tcW w:type="dxa" w:w="2160"/>
            <w:shd w:val="clear" w:fill="0B3C5D"/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2160"/>
            <w:shd w:val="clear" w:fill="0B3C5D"/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Recommendation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Segoe UI" w:hAnsi="Segoe UI"/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Segoe UI" w:hAnsi="Segoe UI"/>
                <w:sz w:val="18"/>
              </w:rPr>
              <w:t>Geo-redundant backup is Disabled on PostgreSQL. Cross-region restore from a geo-redundant backup is not currently available; a regional failure would require rebuild + restore from the most recent in-region backup.</w:t>
            </w:r>
          </w:p>
        </w:tc>
        <w:tc>
          <w:tcPr>
            <w:tcW w:type="dxa" w:w="2160"/>
          </w:tcPr>
          <w:p>
            <w:r>
              <w:rPr>
                <w:rFonts w:ascii="Segoe UI" w:hAnsi="Segoe UI"/>
                <w:sz w:val="18"/>
              </w:rPr>
              <w:t>Moderate</w:t>
            </w:r>
          </w:p>
        </w:tc>
        <w:tc>
          <w:tcPr>
            <w:tcW w:type="dxa" w:w="2160"/>
          </w:tcPr>
          <w:p>
            <w:r>
              <w:rPr>
                <w:rFonts w:ascii="Segoe UI" w:hAnsi="Segoe UI"/>
                <w:sz w:val="18"/>
              </w:rPr>
              <w:t>Enable geo-redundant backup (note: for Flexible Server this is set at creation, so plan a maintenance window to recreate/migrate, or adopt a cross-region read replica) to strengthen regional DR.</w:t>
            </w:r>
          </w:p>
        </w:tc>
      </w:tr>
      <w:tr>
        <w:tc>
          <w:tcPr>
            <w:tcW w:type="dxa" w:w="2160"/>
            <w:shd w:val="clear" w:fill="F2F6FB"/>
          </w:tcPr>
          <w:p>
            <w:r>
              <w:rPr>
                <w:rFonts w:ascii="Segoe UI" w:hAnsi="Segoe UI"/>
                <w:sz w:val="18"/>
              </w:rPr>
              <w:t>2</w:t>
            </w:r>
          </w:p>
        </w:tc>
        <w:tc>
          <w:tcPr>
            <w:tcW w:type="dxa" w:w="2160"/>
            <w:shd w:val="clear" w:fill="F2F6FB"/>
          </w:tcPr>
          <w:p>
            <w:r>
              <w:rPr>
                <w:rFonts w:ascii="Segoe UI" w:hAnsi="Segoe UI"/>
                <w:sz w:val="18"/>
              </w:rPr>
              <w:t>Static Web App has no GitHub CI link; redeploy is via deployment token + local build.</w:t>
            </w:r>
          </w:p>
        </w:tc>
        <w:tc>
          <w:tcPr>
            <w:tcW w:type="dxa" w:w="2160"/>
            <w:shd w:val="clear" w:fill="F2F6FB"/>
          </w:tcPr>
          <w:p>
            <w:r>
              <w:rPr>
                <w:rFonts w:ascii="Segoe UI" w:hAnsi="Segoe UI"/>
                <w:sz w:val="18"/>
              </w:rPr>
              <w:t>Low</w:t>
            </w:r>
          </w:p>
        </w:tc>
        <w:tc>
          <w:tcPr>
            <w:tcW w:type="dxa" w:w="2160"/>
            <w:shd w:val="clear" w:fill="F2F6FB"/>
          </w:tcPr>
          <w:p>
            <w:r>
              <w:rPr>
                <w:rFonts w:ascii="Segoe UI" w:hAnsi="Segoe UI"/>
                <w:sz w:val="18"/>
              </w:rPr>
              <w:t>Acceptable; keep the deployment token in Key Vault and the build steps documented in the runbook. Optionally wire GitHub Actions for automated redeploy.</w:t>
            </w:r>
          </w:p>
        </w:tc>
      </w:tr>
      <w:tr>
        <w:tc>
          <w:tcPr>
            <w:tcW w:type="dxa" w:w="2160"/>
          </w:tcPr>
          <w:p>
            <w:r>
              <w:rPr>
                <w:rFonts w:ascii="Segoe UI" w:hAnsi="Segoe UI"/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Segoe UI" w:hAnsi="Segoe UI"/>
                <w:sz w:val="18"/>
              </w:rPr>
              <w:t>Backups (DB, code, secrets) are validated by capability, not by a full end-to-end failover.</w:t>
            </w:r>
          </w:p>
        </w:tc>
        <w:tc>
          <w:tcPr>
            <w:tcW w:type="dxa" w:w="2160"/>
          </w:tcPr>
          <w:p>
            <w:r>
              <w:rPr>
                <w:rFonts w:ascii="Segoe UI" w:hAnsi="Segoe UI"/>
                <w:sz w:val="18"/>
              </w:rPr>
              <w:t>Low</w:t>
            </w:r>
          </w:p>
        </w:tc>
        <w:tc>
          <w:tcPr>
            <w:tcW w:type="dxa" w:w="2160"/>
          </w:tcPr>
          <w:p>
            <w:r>
              <w:rPr>
                <w:rFonts w:ascii="Segoe UI" w:hAnsi="Segoe UI"/>
                <w:sz w:val="18"/>
              </w:rPr>
              <w:t>Perform a full restore-to-scratch DB rehearsal during the annual Contingency Plan tabletop.</w:t>
            </w:r>
          </w:p>
        </w:tc>
      </w:tr>
    </w:tbl>
    <w:p/>
    <w:p>
      <w:pPr>
        <w:pStyle w:val="Heading1"/>
      </w:pPr>
      <w:r>
        <w:t>5. Next Validation Date</w:t>
      </w:r>
    </w:p>
    <w:p>
      <w:r>
        <w:rPr>
          <w:rFonts w:ascii="Segoe UI" w:hAnsi="Segoe UI"/>
          <w:sz w:val="21"/>
        </w:rPr>
        <w:t>This validation is performed at least annually and after any significant architecture change. Next scheduled validation: July 2027, in conjunction with the annual Contingency Plan tabletop exercise.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Segoe UI" w:hAnsi="Segoe UI"/>
        <w:color w:val="605E5C"/>
        <w:sz w:val="15"/>
      </w:rPr>
      <w:t xml:space="preserve">DocuAction AI  |  DR Validation Report  |  CUI  | 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 w:eastAsia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/>
      <w:b/>
      <w:bCs/>
      <w:color w:val="0B3C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" w:hAnsi="Segoe UI"/>
      <w:b/>
      <w:bCs/>
      <w:color w:val="0B3C5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