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3C5D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8"/>
              </w:rPr>
              <w:t>DocuAction AI</w:t>
            </w:r>
          </w:p>
          <w:p>
            <w:pPr>
              <w:jc w:val="center"/>
            </w:pPr>
            <w:r>
              <w:rPr>
                <w:rFonts w:ascii="Segoe UI" w:hAnsi="Segoe UI"/>
                <w:color w:val="FFFFFF"/>
                <w:sz w:val="22"/>
              </w:rPr>
              <w:t>Enterprise Intelligence Platform — HHS/TEFCA</w:t>
            </w:r>
          </w:p>
          <w:p/>
        </w:tc>
      </w:tr>
    </w:tbl>
    <w:p/>
    <w:p>
      <w:pPr>
        <w:jc w:val="center"/>
      </w:pPr>
      <w:r>
        <w:rPr>
          <w:rFonts w:ascii="Segoe UI" w:hAnsi="Segoe UI"/>
          <w:b/>
          <w:color w:val="0B3C5D"/>
          <w:sz w:val="40"/>
        </w:rPr>
        <w:t>Privacy Impact Assessment</w:t>
      </w:r>
    </w:p>
    <w:p>
      <w:pPr>
        <w:jc w:val="center"/>
      </w:pPr>
      <w:r>
        <w:rPr>
          <w:rFonts w:ascii="Segoe UI" w:hAnsi="Segoe UI"/>
          <w:color w:val="0078D4"/>
          <w:sz w:val="22"/>
        </w:rPr>
        <w:t>OMB / E-Government Act §208 — HHS Privacy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DocuAction AI (TEFCA ARC)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July 20, 2026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CUI</w:t>
            </w:r>
          </w:p>
        </w:tc>
      </w:tr>
    </w:tbl>
    <w:p>
      <w:r>
        <w:br w:type="page"/>
      </w:r>
    </w:p>
    <w:p>
      <w:pPr>
        <w:pStyle w:val="Heading1"/>
      </w:pPr>
      <w:r>
        <w:t>1. System Description</w:t>
      </w:r>
    </w:p>
    <w:p>
      <w:r>
        <w:rPr>
          <w:rFonts w:ascii="Segoe UI" w:hAnsi="Segoe UI"/>
          <w:sz w:val="21"/>
        </w:rPr>
        <w:t>DocuAction AI (TEFCA ARC) is an Azure-hosted platform that reviews health-information-exchange entities for TEFCA compliance. Full architecture is in the SSP; this PIA assesses the privacy implications of the personal and CUI data the system processes.</w:t>
      </w:r>
    </w:p>
    <w:p>
      <w:pPr>
        <w:pStyle w:val="Heading1"/>
      </w:pPr>
      <w:r>
        <w:t>2. Legal Authority</w:t>
      </w:r>
    </w:p>
    <w:p>
      <w:pPr>
        <w:pStyle w:val="ListBullet"/>
      </w:pPr>
      <w:r>
        <w:rPr>
          <w:rFonts w:ascii="Segoe UI" w:hAnsi="Segoe UI"/>
          <w:sz w:val="21"/>
        </w:rPr>
        <w:t>HHS/ONC contract authority for TEFCA entity review and oversight.</w:t>
      </w:r>
    </w:p>
    <w:p>
      <w:pPr>
        <w:pStyle w:val="ListBullet"/>
      </w:pPr>
      <w:r>
        <w:rPr>
          <w:rFonts w:ascii="Segoe UI" w:hAnsi="Segoe UI"/>
          <w:sz w:val="21"/>
        </w:rPr>
        <w:t>Privacy Act of 1974 considerations where records are retrieved by personal identifier.</w:t>
      </w:r>
    </w:p>
    <w:p>
      <w:pPr>
        <w:pStyle w:val="ListBullet"/>
      </w:pPr>
      <w:r>
        <w:rPr>
          <w:rFonts w:ascii="Segoe UI" w:hAnsi="Segoe UI"/>
          <w:sz w:val="21"/>
        </w:rPr>
        <w:t>HIPAA Privacy Rule applicability to any protected health information encountered.</w:t>
      </w:r>
    </w:p>
    <w:p>
      <w:pPr>
        <w:pStyle w:val="Heading1"/>
      </w:pPr>
      <w:r>
        <w:t>3. Information Collected and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Data Element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National Provider Identifier (NPI)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CSV import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Entity verification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Contract duration</w:t>
            </w:r>
          </w:p>
        </w:tc>
      </w:tr>
      <w:tr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Entity names / addresses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CSV import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Verification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Contract duration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Compliance findings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System-generated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Review determinations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Permanent (records)</w:t>
            </w:r>
          </w:p>
        </w:tc>
      </w:tr>
      <w:tr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Audit records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System-generated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Compliance / accountability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Permanent (records)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User accounts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Registration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Access control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Account lifetime</w:t>
            </w:r>
          </w:p>
        </w:tc>
      </w:tr>
    </w:tbl>
    <w:p/>
    <w:p>
      <w:pPr>
        <w:pStyle w:val="Heading1"/>
      </w:pPr>
      <w:r>
        <w:t>4. Data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Security Controls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CSV import via HTTPS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TLS 1.2; upload validation; RBAC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Processing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Verification against federal databases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Parameterized queries; least privilege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Azure PostgreSQL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Encryption at rest; firewall; audit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Retention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Contract duration + federal records requirements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8"/>
              </w:rPr>
              <w:t>Access control; audit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Disposal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Secure deletion upon contract completion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8"/>
              </w:rPr>
              <w:t>Documented disposal procedures</w:t>
            </w:r>
          </w:p>
        </w:tc>
      </w:tr>
    </w:tbl>
    <w:p/>
    <w:p>
      <w:pPr>
        <w:pStyle w:val="Heading1"/>
      </w:pPr>
      <w:r>
        <w:t>5. Information Sharing</w:t>
      </w:r>
    </w:p>
    <w:p>
      <w:pPr>
        <w:pStyle w:val="ListBullet"/>
      </w:pPr>
      <w:r>
        <w:rPr>
          <w:rFonts w:ascii="Segoe UI" w:hAnsi="Segoe UI"/>
          <w:sz w:val="21"/>
        </w:rPr>
        <w:t>No bulk PII is shared externally.</w:t>
      </w:r>
    </w:p>
    <w:p>
      <w:pPr>
        <w:pStyle w:val="ListBullet"/>
      </w:pPr>
      <w:r>
        <w:rPr>
          <w:rFonts w:ascii="Segoe UI" w:hAnsi="Segoe UI"/>
          <w:sz w:val="21"/>
        </w:rPr>
        <w:t>Individual lookups are made to NPPES, SAM.gov, OIG LEIE, and PECOS.</w:t>
      </w:r>
    </w:p>
    <w:p>
      <w:pPr>
        <w:pStyle w:val="ListBullet"/>
      </w:pPr>
      <w:r>
        <w:rPr>
          <w:rFonts w:ascii="Segoe UI" w:hAnsi="Segoe UI"/>
          <w:sz w:val="21"/>
        </w:rPr>
        <w:t>The AI service receives entity context only (no bulk PII).</w:t>
      </w:r>
    </w:p>
    <w:p>
      <w:pPr>
        <w:pStyle w:val="ListBullet"/>
      </w:pPr>
      <w:r>
        <w:rPr>
          <w:rFonts w:ascii="Segoe UI" w:hAnsi="Segoe UI"/>
          <w:sz w:val="21"/>
        </w:rPr>
        <w:t>Reports are delivered to the COR only.</w:t>
      </w:r>
    </w:p>
    <w:p>
      <w:pPr>
        <w:pStyle w:val="ListBullet"/>
      </w:pPr>
      <w:r>
        <w:rPr>
          <w:rFonts w:ascii="Segoe UI" w:hAnsi="Segoe UI"/>
          <w:sz w:val="21"/>
        </w:rPr>
        <w:t>No cross-border data transfer (Azure East US 2).</w:t>
      </w:r>
    </w:p>
    <w:p>
      <w:pPr>
        <w:pStyle w:val="Heading1"/>
      </w:pPr>
      <w:r>
        <w:t>6. Third-Party Services</w:t>
      </w:r>
    </w:p>
    <w:p>
      <w:r>
        <w:rPr>
          <w:rFonts w:ascii="Segoe UI" w:hAnsi="Segoe UI"/>
          <w:sz w:val="21"/>
        </w:rPr>
        <w:t>Third-party interconnections and their privacy controls are enumerated in SSP Section 13. In summary, each connection is TLS-protected, authenticated (API key or Managed Identity), and receives only the minimum data necessary.</w:t>
      </w:r>
    </w:p>
    <w:p>
      <w:pPr>
        <w:pStyle w:val="Heading1"/>
      </w:pPr>
      <w:r>
        <w:t>7. Notice and Consent</w:t>
      </w:r>
    </w:p>
    <w:p>
      <w:pPr>
        <w:pStyle w:val="ListBullet"/>
      </w:pPr>
      <w:r>
        <w:rPr>
          <w:rFonts w:ascii="Segoe UI" w:hAnsi="Segoe UI"/>
          <w:sz w:val="21"/>
        </w:rPr>
        <w:t>Users are informed of monitoring and acceptable use at registration.</w:t>
      </w:r>
    </w:p>
    <w:p>
      <w:pPr>
        <w:pStyle w:val="ListBullet"/>
      </w:pPr>
      <w:r>
        <w:rPr>
          <w:rFonts w:ascii="Segoe UI" w:hAnsi="Segoe UI"/>
          <w:sz w:val="21"/>
        </w:rPr>
        <w:t>A System Use Notification banner is presented at sign-in.</w:t>
      </w:r>
    </w:p>
    <w:p>
      <w:pPr>
        <w:pStyle w:val="Heading1"/>
      </w:pPr>
      <w:r>
        <w:t>8. Data Minimization</w:t>
      </w:r>
    </w:p>
    <w:p>
      <w:pPr>
        <w:pStyle w:val="ListBullet"/>
      </w:pPr>
      <w:r>
        <w:rPr>
          <w:rFonts w:ascii="Segoe UI" w:hAnsi="Segoe UI"/>
          <w:sz w:val="21"/>
        </w:rPr>
        <w:t>Only data required for TEFCA review is collected.</w:t>
      </w:r>
    </w:p>
    <w:p>
      <w:pPr>
        <w:pStyle w:val="ListBullet"/>
      </w:pPr>
      <w:r>
        <w:rPr>
          <w:rFonts w:ascii="Segoe UI" w:hAnsi="Segoe UI"/>
          <w:sz w:val="21"/>
        </w:rPr>
        <w:t>PII is restricted to reviewer-and-above roles via RBAC.</w:t>
      </w:r>
    </w:p>
    <w:p>
      <w:pPr>
        <w:pStyle w:val="ListBullet"/>
      </w:pPr>
      <w:r>
        <w:rPr>
          <w:rFonts w:ascii="Segoe UI" w:hAnsi="Segoe UI"/>
          <w:sz w:val="21"/>
        </w:rPr>
        <w:t>Viewer/analyst roles cannot see NPI or entity data.</w:t>
      </w:r>
    </w:p>
    <w:p>
      <w:pPr>
        <w:pStyle w:val="Heading1"/>
      </w:pPr>
      <w:r>
        <w:t>9. Cookie and Session Information</w:t>
      </w:r>
    </w:p>
    <w:p>
      <w:pPr>
        <w:pStyle w:val="ListBullet"/>
      </w:pPr>
      <w:r>
        <w:rPr>
          <w:rFonts w:ascii="Segoe UI" w:hAnsi="Segoe UI"/>
          <w:sz w:val="21"/>
        </w:rPr>
        <w:t>JWT tokens are carried in the Authorization header, not cookies.</w:t>
      </w:r>
    </w:p>
    <w:p>
      <w:pPr>
        <w:pStyle w:val="ListBullet"/>
      </w:pPr>
      <w:r>
        <w:rPr>
          <w:rFonts w:ascii="Segoe UI" w:hAnsi="Segoe UI"/>
          <w:sz w:val="21"/>
        </w:rPr>
        <w:t>No tracking cookies; no third-party analytics cookies.</w:t>
      </w:r>
    </w:p>
    <w:p>
      <w:pPr>
        <w:pStyle w:val="ListBullet"/>
      </w:pPr>
      <w:r>
        <w:rPr>
          <w:rFonts w:ascii="Segoe UI" w:hAnsi="Segoe UI"/>
          <w:sz w:val="21"/>
        </w:rPr>
        <w:t>Session data: access token (short-lived) and refresh token (rotating).</w:t>
      </w:r>
    </w:p>
    <w:p>
      <w:pPr>
        <w:pStyle w:val="Heading1"/>
      </w:pPr>
      <w:r>
        <w:t>10. Data Quality and Integrity</w:t>
      </w:r>
    </w:p>
    <w:p>
      <w:pPr>
        <w:pStyle w:val="ListBullet"/>
      </w:pPr>
      <w:r>
        <w:rPr>
          <w:rFonts w:ascii="Segoe UI" w:hAnsi="Segoe UI"/>
          <w:sz w:val="21"/>
        </w:rPr>
        <w:t>SHA-256 evidence hashing for chain of custody.</w:t>
      </w:r>
    </w:p>
    <w:p>
      <w:pPr>
        <w:pStyle w:val="ListBullet"/>
      </w:pPr>
      <w:r>
        <w:rPr>
          <w:rFonts w:ascii="Segoe UI" w:hAnsi="Segoe UI"/>
          <w:sz w:val="21"/>
        </w:rPr>
        <w:t>Immutable, append-only audit trail.</w:t>
      </w:r>
    </w:p>
    <w:p>
      <w:pPr>
        <w:pStyle w:val="ListBullet"/>
      </w:pPr>
      <w:r>
        <w:rPr>
          <w:rFonts w:ascii="Segoe UI" w:hAnsi="Segoe UI"/>
          <w:sz w:val="21"/>
        </w:rPr>
        <w:t>Human-in-the-loop classification decisions.</w:t>
      </w:r>
    </w:p>
    <w:p>
      <w:pPr>
        <w:pStyle w:val="Heading1"/>
      </w:pPr>
      <w:r>
        <w:t>11. Security Controls</w:t>
      </w:r>
    </w:p>
    <w:p>
      <w:r>
        <w:rPr>
          <w:rFonts w:ascii="Segoe UI" w:hAnsi="Segoe UI"/>
          <w:sz w:val="21"/>
        </w:rPr>
        <w:t>Privacy is protected by the security controls documented in SSP Sections 6–9 (access control, identification &amp; authentication, audit, and system/communications protection).</w:t>
      </w:r>
    </w:p>
    <w:p>
      <w:pPr>
        <w:pStyle w:val="Heading1"/>
      </w:pPr>
      <w:r>
        <w:t>12. Individual Rights</w:t>
      </w:r>
    </w:p>
    <w:p>
      <w:pPr>
        <w:pStyle w:val="ListBullet"/>
      </w:pPr>
      <w:r>
        <w:rPr>
          <w:rFonts w:ascii="Segoe UI" w:hAnsi="Segoe UI"/>
          <w:sz w:val="21"/>
        </w:rPr>
        <w:t>Users can view their own profile.</w:t>
      </w:r>
    </w:p>
    <w:p>
      <w:pPr>
        <w:pStyle w:val="ListBullet"/>
      </w:pPr>
      <w:r>
        <w:rPr>
          <w:rFonts w:ascii="Segoe UI" w:hAnsi="Segoe UI"/>
          <w:sz w:val="21"/>
        </w:rPr>
        <w:t>Administrators can disable or delete accounts.</w:t>
      </w:r>
    </w:p>
    <w:p>
      <w:pPr>
        <w:pStyle w:val="ListBullet"/>
      </w:pPr>
      <w:r>
        <w:rPr>
          <w:rFonts w:ascii="Segoe UI" w:hAnsi="Segoe UI"/>
          <w:sz w:val="21"/>
        </w:rPr>
        <w:t>Entity records are government data, not personal user accounts.</w:t>
      </w:r>
    </w:p>
    <w:p>
      <w:pPr>
        <w:pStyle w:val="Heading1"/>
      </w:pPr>
      <w:r>
        <w:t>13. Privacy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Unauthorized PII access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RBAC + audit trail</w:t>
            </w:r>
          </w:p>
        </w:tc>
      </w:tr>
      <w:tr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Data breach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Low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Encryption + Defender + alerts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Over-collection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Data minimization + RBAC</w:t>
            </w:r>
          </w:p>
        </w:tc>
      </w:tr>
      <w:tr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Improper sharing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Low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High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No bulk export + role gating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Retention beyond need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Disposal procedures</w:t>
            </w:r>
          </w:p>
        </w:tc>
      </w:tr>
    </w:tbl>
    <w:p/>
    <w:p>
      <w:pPr>
        <w:pStyle w:val="Heading1"/>
      </w:pPr>
      <w:r>
        <w:t>14. Accountability</w:t>
      </w:r>
    </w:p>
    <w:p>
      <w:pPr>
        <w:pStyle w:val="ListBullet"/>
      </w:pPr>
      <w:r>
        <w:rPr>
          <w:rFonts w:ascii="Segoe UI" w:hAnsi="Segoe UI"/>
          <w:sz w:val="21"/>
        </w:rPr>
        <w:t>System Owner: Imran Siddiqui.</w:t>
      </w:r>
    </w:p>
    <w:p>
      <w:pPr>
        <w:pStyle w:val="ListBullet"/>
      </w:pPr>
      <w:r>
        <w:rPr>
          <w:rFonts w:ascii="Segoe UI" w:hAnsi="Segoe UI"/>
          <w:sz w:val="21"/>
        </w:rPr>
        <w:t>Audit trail captures all actions.</w:t>
      </w:r>
    </w:p>
    <w:p>
      <w:pPr>
        <w:pStyle w:val="ListBullet"/>
      </w:pPr>
      <w:r>
        <w:rPr>
          <w:rFonts w:ascii="Segoe UI" w:hAnsi="Segoe UI"/>
          <w:sz w:val="21"/>
        </w:rPr>
        <w:t>Monthly monitoring per the Continuous Monitoring Strategy.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05E5C"/>
        <w:sz w:val="15"/>
      </w:rPr>
      <w:t xml:space="preserve">DocuAction AI  |  Privacy Impact Assessment  |  CUI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