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2B4C"/>
          <w:sz w:val="88"/>
        </w:rPr>
        <w:t>AGT</w:t>
      </w:r>
    </w:p>
    <w:p>
      <w:pPr>
        <w:jc w:val="center"/>
      </w:pPr>
      <w:r>
        <w:rPr>
          <w:color w:val="5A5A5A"/>
          <w:sz w:val="26"/>
        </w:rPr>
        <w:t>Alliance Global Tech Inc.</w:t>
      </w:r>
    </w:p>
    <w:p/>
    <w:p>
      <w:pPr>
        <w:jc w:val="center"/>
      </w:pPr>
      <w:r>
        <w:rPr>
          <w:b/>
          <w:color w:val="0F2B4C"/>
          <w:sz w:val="48"/>
        </w:rPr>
        <w:t>AI Governance Policy</w:t>
      </w:r>
    </w:p>
    <w:p>
      <w:pPr>
        <w:jc w:val="center"/>
      </w:pPr>
      <w:r>
        <w:rPr>
          <w:i/>
          <w:color w:val="0F6CBD"/>
          <w:sz w:val="26"/>
        </w:rPr>
        <w:t>DocuAction TEFCA ARC</w:t>
      </w:r>
    </w:p>
    <w:p/>
    <w:p/>
    <w:p/>
    <w:tbl>
      <w:tblPr>
        <w:tblStyle w:val="TableGrid"/>
        <w:tblW w:type="auto" w:w="0"/>
        <w:jc w:val="center"/>
        <w:tblLook w:firstColumn="1" w:firstRow="1" w:lastColumn="0" w:lastRow="0" w:noHBand="0" w:noVBand="1" w:val="04A0"/>
      </w:tblPr>
      <w:tblGrid>
        <w:gridCol w:w="4680"/>
        <w:gridCol w:w="4680"/>
      </w:tblGrid>
      <w:tr>
        <w:tc>
          <w:tcPr>
            <w:tcW w:type="dxa" w:w="2736"/>
            <w:shd w:val="clear" w:fill="EEF3F8"/>
          </w:tcPr>
          <w:p>
            <w:r>
              <w:rPr>
                <w:b/>
                <w:sz w:val="20"/>
              </w:rPr>
              <w:t>Document ID</w:t>
            </w:r>
          </w:p>
        </w:tc>
        <w:tc>
          <w:tcPr>
            <w:tcW w:type="dxa" w:w="5184"/>
          </w:tcPr>
          <w:p>
            <w:r>
              <w:rPr>
                <w:sz w:val="20"/>
              </w:rPr>
              <w:t>AGT-AIGOV-013</w:t>
            </w:r>
          </w:p>
        </w:tc>
      </w:tr>
      <w:tr>
        <w:tc>
          <w:tcPr>
            <w:tcW w:type="dxa" w:w="2736"/>
            <w:shd w:val="clear" w:fill="EEF3F8"/>
          </w:tcPr>
          <w:p>
            <w:r>
              <w:rPr>
                <w:b/>
                <w:sz w:val="20"/>
              </w:rPr>
              <w:t>Version</w:t>
            </w:r>
          </w:p>
        </w:tc>
        <w:tc>
          <w:tcPr>
            <w:tcW w:type="dxa" w:w="5184"/>
          </w:tcPr>
          <w:p>
            <w:r>
              <w:rPr>
                <w:sz w:val="20"/>
              </w:rPr>
              <w:t>1.0</w:t>
            </w:r>
          </w:p>
        </w:tc>
      </w:tr>
      <w:tr>
        <w:tc>
          <w:tcPr>
            <w:tcW w:type="dxa" w:w="2736"/>
            <w:shd w:val="clear" w:fill="EEF3F8"/>
          </w:tcPr>
          <w:p>
            <w:r>
              <w:rPr>
                <w:b/>
                <w:sz w:val="20"/>
              </w:rPr>
              <w:t>Effective date</w:t>
            </w:r>
          </w:p>
        </w:tc>
        <w:tc>
          <w:tcPr>
            <w:tcW w:type="dxa" w:w="5184"/>
          </w:tcPr>
          <w:p>
            <w:r>
              <w:rPr>
                <w:sz w:val="20"/>
              </w:rPr>
              <w:t>2026-07-28</w:t>
            </w:r>
          </w:p>
        </w:tc>
      </w:tr>
      <w:tr>
        <w:tc>
          <w:tcPr>
            <w:tcW w:type="dxa" w:w="2736"/>
            <w:shd w:val="clear" w:fill="EEF3F8"/>
          </w:tcPr>
          <w:p>
            <w:r>
              <w:rPr>
                <w:b/>
                <w:sz w:val="20"/>
              </w:rPr>
              <w:t>Classification</w:t>
            </w:r>
          </w:p>
        </w:tc>
        <w:tc>
          <w:tcPr>
            <w:tcW w:type="dxa" w:w="5184"/>
          </w:tcPr>
          <w:p>
            <w:r>
              <w:rPr>
                <w:sz w:val="20"/>
              </w:rPr>
              <w:t>Internal</w:t>
            </w:r>
          </w:p>
        </w:tc>
      </w:tr>
      <w:tr>
        <w:tc>
          <w:tcPr>
            <w:tcW w:type="dxa" w:w="2736"/>
            <w:shd w:val="clear" w:fill="EEF3F8"/>
          </w:tcPr>
          <w:p>
            <w:r>
              <w:rPr>
                <w:b/>
                <w:sz w:val="20"/>
              </w:rPr>
              <w:t>Owner</w:t>
            </w:r>
          </w:p>
        </w:tc>
        <w:tc>
          <w:tcPr>
            <w:tcW w:type="dxa" w:w="5184"/>
          </w:tcPr>
          <w:p>
            <w:r>
              <w:rPr>
                <w:sz w:val="20"/>
              </w:rPr>
              <w:t>Chief Executive Officer, AGT</w:t>
            </w:r>
          </w:p>
        </w:tc>
      </w:tr>
      <w:tr>
        <w:tc>
          <w:tcPr>
            <w:tcW w:type="dxa" w:w="2736"/>
            <w:shd w:val="clear" w:fill="EEF3F8"/>
          </w:tcPr>
          <w:p>
            <w:r>
              <w:rPr>
                <w:b/>
                <w:sz w:val="20"/>
              </w:rPr>
              <w:t>Approved by</w:t>
            </w:r>
          </w:p>
        </w:tc>
        <w:tc>
          <w:tcPr>
            <w:tcW w:type="dxa" w:w="5184"/>
          </w:tcPr>
          <w:p>
            <w:r>
              <w:rPr>
                <w:sz w:val="20"/>
              </w:rPr>
              <w:t>Imran Siddiqui</w:t>
            </w:r>
          </w:p>
        </w:tc>
      </w:tr>
      <w:tr>
        <w:tc>
          <w:tcPr>
            <w:tcW w:type="dxa" w:w="2736"/>
            <w:shd w:val="clear" w:fill="EEF3F8"/>
          </w:tcPr>
          <w:p>
            <w:r>
              <w:rPr>
                <w:b/>
                <w:sz w:val="20"/>
              </w:rPr>
              <w:t>Review cycle</w:t>
            </w:r>
          </w:p>
        </w:tc>
        <w:tc>
          <w:tcPr>
            <w:tcW w:type="dxa" w:w="5184"/>
          </w:tcPr>
          <w:p>
            <w:r>
              <w:rPr>
                <w:sz w:val="20"/>
              </w:rPr>
              <w:t>Annual, or on material change</w:t>
            </w:r>
          </w:p>
        </w:tc>
      </w:tr>
    </w:tbl>
    <w:p>
      <w:r>
        <w:br w:type="page"/>
      </w:r>
    </w:p>
    <w:p>
      <w:pPr>
        <w:pStyle w:val="Heading1"/>
      </w:pPr>
      <w:r>
        <w:t>1. Purpose</w:t>
      </w:r>
    </w:p>
    <w:p>
      <w:r>
        <w:t>This policy governs the use of artificial intelligence services within the DocuAction TEFCA ARC platform and by AGT personnel. AI providers are the newest and least settled category of data processor AGT uses, and the platform sends them clinical text and audio. The controls here exist because prompt content leaves AGT's boundary in a form that is difficult to recall and, absent contractual terms, may be retained.</w:t>
      </w:r>
    </w:p>
    <w:p>
      <w:pPr>
        <w:pStyle w:val="Heading1"/>
      </w:pPr>
      <w:r>
        <w:t>2. Scope</w:t>
      </w:r>
    </w:p>
    <w:p>
      <w:r>
        <w:t>This policy applies to all Alliance Global Tech Inc. (AGT) personnel, contractors, and third parties who access, operate, or support the DocuAction TEFCA ARC platform or its supporting Azure infrastructure. It covers production, development, and any environment holding customer data, protected health information (PHI), or controlled unclassified information (CUI).</w:t>
      </w:r>
    </w:p>
    <w:p>
      <w:pPr>
        <w:pStyle w:val="Heading2"/>
      </w:pPr>
      <w:r>
        <w:t>System context</w:t>
      </w:r>
    </w:p>
    <w:p>
      <w:r>
        <w:t>This document applies to DocuAction TEFCA ARC, operated by Alliance Global Tech Inc. on Microsoft Azure. The control descriptions in this document are written against the following implementation, not against a generic reference architecture.</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Layer</w:t>
            </w:r>
          </w:p>
        </w:tc>
        <w:tc>
          <w:tcPr>
            <w:tcW w:type="dxa" w:w="6336"/>
            <w:shd w:val="clear" w:fill="0F2B4C"/>
          </w:tcPr>
          <w:p>
            <w:r>
              <w:rPr>
                <w:b/>
                <w:color w:val="FFFFFF"/>
                <w:sz w:val="18"/>
              </w:rPr>
              <w:t>Implementation</w:t>
            </w:r>
          </w:p>
        </w:tc>
      </w:tr>
      <w:tr>
        <w:tc>
          <w:tcPr>
            <w:tcW w:type="dxa" w:w="2592"/>
          </w:tcPr>
          <w:p>
            <w:r>
              <w:rPr>
                <w:sz w:val="18"/>
              </w:rPr>
              <w:t>Frontend</w:t>
            </w:r>
          </w:p>
        </w:tc>
        <w:tc>
          <w:tcPr>
            <w:tcW w:type="dxa" w:w="6336"/>
          </w:tcPr>
          <w:p>
            <w:r>
              <w:rPr>
                <w:sz w:val="18"/>
              </w:rPr>
              <w:t>Next.js 14 (React), static export, Azure Static Web Apps</w:t>
            </w:r>
          </w:p>
        </w:tc>
      </w:tr>
      <w:tr>
        <w:tc>
          <w:tcPr>
            <w:tcW w:type="dxa" w:w="2592"/>
          </w:tcPr>
          <w:p>
            <w:r>
              <w:rPr>
                <w:sz w:val="18"/>
              </w:rPr>
              <w:t>Backend</w:t>
            </w:r>
          </w:p>
        </w:tc>
        <w:tc>
          <w:tcPr>
            <w:tcW w:type="dxa" w:w="6336"/>
          </w:tcPr>
          <w:p>
            <w:r>
              <w:rPr>
                <w:sz w:val="18"/>
              </w:rPr>
              <w:t>FastAPI on Python 3.12, Azure App Service (Linux)</w:t>
            </w:r>
          </w:p>
        </w:tc>
      </w:tr>
      <w:tr>
        <w:tc>
          <w:tcPr>
            <w:tcW w:type="dxa" w:w="2592"/>
          </w:tcPr>
          <w:p>
            <w:r>
              <w:rPr>
                <w:sz w:val="18"/>
              </w:rPr>
              <w:t>Database</w:t>
            </w:r>
          </w:p>
        </w:tc>
        <w:tc>
          <w:tcPr>
            <w:tcW w:type="dxa" w:w="6336"/>
          </w:tcPr>
          <w:p>
            <w:r>
              <w:rPr>
                <w:sz w:val="18"/>
              </w:rPr>
              <w:t>Azure Database for PostgreSQL - Flexible Server, geo-redundant</w:t>
            </w:r>
          </w:p>
        </w:tc>
      </w:tr>
      <w:tr>
        <w:tc>
          <w:tcPr>
            <w:tcW w:type="dxa" w:w="2592"/>
          </w:tcPr>
          <w:p>
            <w:r>
              <w:rPr>
                <w:sz w:val="18"/>
              </w:rPr>
              <w:t>Identity</w:t>
            </w:r>
          </w:p>
        </w:tc>
        <w:tc>
          <w:tcPr>
            <w:tcW w:type="dxa" w:w="6336"/>
          </w:tcPr>
          <w:p>
            <w:r>
              <w:rPr>
                <w:sz w:val="18"/>
              </w:rPr>
              <w:t>Microsoft Entra ID; OAuth 2.0, OIDC, JWT bearer, RBAC, MFA</w:t>
            </w:r>
          </w:p>
        </w:tc>
      </w:tr>
      <w:tr>
        <w:tc>
          <w:tcPr>
            <w:tcW w:type="dxa" w:w="2592"/>
          </w:tcPr>
          <w:p>
            <w:r>
              <w:rPr>
                <w:sz w:val="18"/>
              </w:rPr>
              <w:t>Secrets</w:t>
            </w:r>
          </w:p>
        </w:tc>
        <w:tc>
          <w:tcPr>
            <w:tcW w:type="dxa" w:w="6336"/>
          </w:tcPr>
          <w:p>
            <w:r>
              <w:rPr>
                <w:sz w:val="18"/>
              </w:rPr>
              <w:t>Azure Key Vault, resolved at runtime by system-assigned managed identity</w:t>
            </w:r>
          </w:p>
        </w:tc>
      </w:tr>
      <w:tr>
        <w:tc>
          <w:tcPr>
            <w:tcW w:type="dxa" w:w="2592"/>
          </w:tcPr>
          <w:p>
            <w:r>
              <w:rPr>
                <w:sz w:val="18"/>
              </w:rPr>
              <w:t>Monitoring</w:t>
            </w:r>
          </w:p>
        </w:tc>
        <w:tc>
          <w:tcPr>
            <w:tcW w:type="dxa" w:w="6336"/>
          </w:tcPr>
          <w:p>
            <w:r>
              <w:rPr>
                <w:sz w:val="18"/>
              </w:rPr>
              <w:t>Azure Monitor and Application Insights</w:t>
            </w:r>
          </w:p>
        </w:tc>
      </w:tr>
      <w:tr>
        <w:tc>
          <w:tcPr>
            <w:tcW w:type="dxa" w:w="2592"/>
          </w:tcPr>
          <w:p>
            <w:r>
              <w:rPr>
                <w:sz w:val="18"/>
              </w:rPr>
              <w:t>Healthcare standards</w:t>
            </w:r>
          </w:p>
        </w:tc>
        <w:tc>
          <w:tcPr>
            <w:tcW w:type="dxa" w:w="6336"/>
          </w:tcPr>
          <w:p>
            <w:r>
              <w:rPr>
                <w:sz w:val="18"/>
              </w:rPr>
              <w:t>FHIR R4, HL7, TEFCA Common Agreement / RCE IG v1.14.0</w:t>
            </w:r>
          </w:p>
        </w:tc>
      </w:tr>
      <w:tr>
        <w:tc>
          <w:tcPr>
            <w:tcW w:type="dxa" w:w="2592"/>
          </w:tcPr>
          <w:p>
            <w:r>
              <w:rPr>
                <w:sz w:val="18"/>
              </w:rPr>
              <w:t>Certifications</w:t>
            </w:r>
          </w:p>
        </w:tc>
        <w:tc>
          <w:tcPr>
            <w:tcW w:type="dxa" w:w="6336"/>
          </w:tcPr>
          <w:p>
            <w:r>
              <w:rPr>
                <w:sz w:val="18"/>
              </w:rPr>
              <w:t>CMMI Level 3, ISO 27001, ISO 9001, ISO 20000-1, DoD Final Contractor</w:t>
            </w:r>
          </w:p>
        </w:tc>
      </w:tr>
    </w:tbl>
    <w:p/>
    <w:p>
      <w:pPr>
        <w:pStyle w:val="Heading2"/>
      </w:pPr>
      <w:r>
        <w:t>Definitions</w:t>
      </w:r>
    </w:p>
    <w:tbl>
      <w:tblPr>
        <w:tblStyle w:val="TableGrid"/>
        <w:tblW w:type="auto" w:w="0"/>
        <w:tblLook w:firstColumn="1" w:firstRow="1" w:lastColumn="0" w:lastRow="0" w:noHBand="0" w:noVBand="1" w:val="04A0"/>
      </w:tblPr>
      <w:tblGrid>
        <w:gridCol w:w="4680"/>
        <w:gridCol w:w="4680"/>
      </w:tblGrid>
      <w:tr>
        <w:tc>
          <w:tcPr>
            <w:tcW w:type="dxa" w:w="2160"/>
            <w:shd w:val="clear" w:fill="0F2B4C"/>
          </w:tcPr>
          <w:p>
            <w:r>
              <w:rPr>
                <w:b/>
                <w:color w:val="FFFFFF"/>
                <w:sz w:val="18"/>
              </w:rPr>
              <w:t>Term</w:t>
            </w:r>
          </w:p>
        </w:tc>
        <w:tc>
          <w:tcPr>
            <w:tcW w:type="dxa" w:w="6768"/>
            <w:shd w:val="clear" w:fill="0F2B4C"/>
          </w:tcPr>
          <w:p>
            <w:r>
              <w:rPr>
                <w:b/>
                <w:color w:val="FFFFFF"/>
                <w:sz w:val="18"/>
              </w:rPr>
              <w:t>Definition</w:t>
            </w:r>
          </w:p>
        </w:tc>
      </w:tr>
      <w:tr>
        <w:tc>
          <w:tcPr>
            <w:tcW w:type="dxa" w:w="2160"/>
          </w:tcPr>
          <w:p>
            <w:r>
              <w:rPr>
                <w:sz w:val="18"/>
              </w:rPr>
              <w:t>Prompt</w:t>
            </w:r>
          </w:p>
        </w:tc>
        <w:tc>
          <w:tcPr>
            <w:tcW w:type="dxa" w:w="6768"/>
          </w:tcPr>
          <w:p>
            <w:r>
              <w:rPr>
                <w:sz w:val="18"/>
              </w:rPr>
              <w:t>The input sent to an AI model, including any context or documents.</w:t>
            </w:r>
          </w:p>
        </w:tc>
      </w:tr>
      <w:tr>
        <w:tc>
          <w:tcPr>
            <w:tcW w:type="dxa" w:w="2160"/>
          </w:tcPr>
          <w:p>
            <w:r>
              <w:rPr>
                <w:sz w:val="18"/>
              </w:rPr>
              <w:t>Zero data retention</w:t>
            </w:r>
          </w:p>
        </w:tc>
        <w:tc>
          <w:tcPr>
            <w:tcW w:type="dxa" w:w="6768"/>
          </w:tcPr>
          <w:p>
            <w:r>
              <w:rPr>
                <w:sz w:val="18"/>
              </w:rPr>
              <w:t>A contractual commitment that inputs are not stored after inference.</w:t>
            </w:r>
          </w:p>
        </w:tc>
      </w:tr>
      <w:tr>
        <w:tc>
          <w:tcPr>
            <w:tcW w:type="dxa" w:w="2160"/>
          </w:tcPr>
          <w:p>
            <w:r>
              <w:rPr>
                <w:sz w:val="18"/>
              </w:rPr>
              <w:t>Human in the loop</w:t>
            </w:r>
          </w:p>
        </w:tc>
        <w:tc>
          <w:tcPr>
            <w:tcW w:type="dxa" w:w="6768"/>
          </w:tcPr>
          <w:p>
            <w:r>
              <w:rPr>
                <w:sz w:val="18"/>
              </w:rPr>
              <w:t>Mandatory human review before an AI output is acted upon.</w:t>
            </w:r>
          </w:p>
        </w:tc>
      </w:tr>
      <w:tr>
        <w:tc>
          <w:tcPr>
            <w:tcW w:type="dxa" w:w="2160"/>
          </w:tcPr>
          <w:p>
            <w:r>
              <w:rPr>
                <w:sz w:val="18"/>
              </w:rPr>
              <w:t>Model training</w:t>
            </w:r>
          </w:p>
        </w:tc>
        <w:tc>
          <w:tcPr>
            <w:tcW w:type="dxa" w:w="6768"/>
          </w:tcPr>
          <w:p>
            <w:r>
              <w:rPr>
                <w:sz w:val="18"/>
              </w:rPr>
              <w:t>Use of submitted data to improve a vendor's model.</w:t>
            </w:r>
          </w:p>
        </w:tc>
      </w:tr>
    </w:tbl>
    <w:p/>
    <w:p>
      <w:pPr>
        <w:pStyle w:val="Heading1"/>
      </w:pPr>
      <w:r>
        <w:t>3. Approved AI services and permitted data</w:t>
      </w:r>
    </w:p>
    <w:tbl>
      <w:tblPr>
        <w:tblStyle w:val="TableGrid"/>
        <w:tblW w:type="auto" w:w="0"/>
        <w:tblLook w:firstColumn="1" w:firstRow="1" w:lastColumn="0" w:lastRow="0" w:noHBand="0" w:noVBand="1" w:val="04A0"/>
      </w:tblPr>
      <w:tblGrid>
        <w:gridCol w:w="2340"/>
        <w:gridCol w:w="2340"/>
        <w:gridCol w:w="2340"/>
        <w:gridCol w:w="2340"/>
      </w:tblGrid>
      <w:tr>
        <w:tc>
          <w:tcPr>
            <w:tcW w:type="dxa" w:w="1872"/>
            <w:shd w:val="clear" w:fill="0F2B4C"/>
          </w:tcPr>
          <w:p>
            <w:r>
              <w:rPr>
                <w:b/>
                <w:color w:val="FFFFFF"/>
                <w:sz w:val="18"/>
              </w:rPr>
              <w:t>Provider</w:t>
            </w:r>
          </w:p>
        </w:tc>
        <w:tc>
          <w:tcPr>
            <w:tcW w:type="dxa" w:w="3168"/>
            <w:shd w:val="clear" w:fill="0F2B4C"/>
          </w:tcPr>
          <w:p>
            <w:r>
              <w:rPr>
                <w:b/>
                <w:color w:val="FFFFFF"/>
                <w:sz w:val="18"/>
              </w:rPr>
              <w:t>Use in platform</w:t>
            </w:r>
          </w:p>
        </w:tc>
        <w:tc>
          <w:tcPr>
            <w:tcW w:type="dxa" w:w="2016"/>
            <w:shd w:val="clear" w:fill="0F2B4C"/>
          </w:tcPr>
          <w:p>
            <w:r>
              <w:rPr>
                <w:b/>
                <w:color w:val="FFFFFF"/>
                <w:sz w:val="18"/>
              </w:rPr>
              <w:t>Maximum data class permitted</w:t>
            </w:r>
          </w:p>
        </w:tc>
        <w:tc>
          <w:tcPr>
            <w:tcW w:type="dxa" w:w="2160"/>
            <w:shd w:val="clear" w:fill="0F2B4C"/>
          </w:tcPr>
          <w:p>
            <w:r>
              <w:rPr>
                <w:b/>
                <w:color w:val="FFFFFF"/>
                <w:sz w:val="18"/>
              </w:rPr>
              <w:t>Condition</w:t>
            </w:r>
          </w:p>
        </w:tc>
      </w:tr>
      <w:tr>
        <w:tc>
          <w:tcPr>
            <w:tcW w:type="dxa" w:w="1872"/>
          </w:tcPr>
          <w:p>
            <w:r>
              <w:rPr>
                <w:sz w:val="18"/>
              </w:rPr>
              <w:t>Anthropic (Claude)</w:t>
            </w:r>
          </w:p>
        </w:tc>
        <w:tc>
          <w:tcPr>
            <w:tcW w:type="dxa" w:w="3168"/>
          </w:tcPr>
          <w:p>
            <w:r>
              <w:rPr>
                <w:sz w:val="18"/>
              </w:rPr>
              <w:t>Clinical note generation, care plans, discharge summaries, document analysis</w:t>
            </w:r>
          </w:p>
        </w:tc>
        <w:tc>
          <w:tcPr>
            <w:tcW w:type="dxa" w:w="2016"/>
          </w:tcPr>
          <w:p>
            <w:r>
              <w:rPr>
                <w:sz w:val="18"/>
              </w:rPr>
              <w:t>Confidential</w:t>
            </w:r>
          </w:p>
        </w:tc>
        <w:tc>
          <w:tcPr>
            <w:tcW w:type="dxa" w:w="2160"/>
          </w:tcPr>
          <w:p>
            <w:r>
              <w:rPr>
                <w:sz w:val="18"/>
              </w:rPr>
              <w:t>PHI prohibited until a BAA is executed</w:t>
            </w:r>
          </w:p>
        </w:tc>
      </w:tr>
      <w:tr>
        <w:tc>
          <w:tcPr>
            <w:tcW w:type="dxa" w:w="1872"/>
          </w:tcPr>
          <w:p>
            <w:r>
              <w:rPr>
                <w:sz w:val="18"/>
              </w:rPr>
              <w:t>OpenAI</w:t>
            </w:r>
          </w:p>
        </w:tc>
        <w:tc>
          <w:tcPr>
            <w:tcW w:type="dxa" w:w="3168"/>
          </w:tcPr>
          <w:p>
            <w:r>
              <w:rPr>
                <w:sz w:val="18"/>
              </w:rPr>
              <w:t>Audio transcription (Whisper), analysis</w:t>
            </w:r>
          </w:p>
        </w:tc>
        <w:tc>
          <w:tcPr>
            <w:tcW w:type="dxa" w:w="2016"/>
          </w:tcPr>
          <w:p>
            <w:r>
              <w:rPr>
                <w:sz w:val="18"/>
              </w:rPr>
              <w:t>Confidential</w:t>
            </w:r>
          </w:p>
        </w:tc>
        <w:tc>
          <w:tcPr>
            <w:tcW w:type="dxa" w:w="2160"/>
          </w:tcPr>
          <w:p>
            <w:r>
              <w:rPr>
                <w:sz w:val="18"/>
              </w:rPr>
              <w:t>PHI prohibited until a BAA is executed</w:t>
            </w:r>
          </w:p>
        </w:tc>
      </w:tr>
      <w:tr>
        <w:tc>
          <w:tcPr>
            <w:tcW w:type="dxa" w:w="1872"/>
          </w:tcPr>
          <w:p>
            <w:r>
              <w:rPr>
                <w:sz w:val="18"/>
              </w:rPr>
              <w:t>Perigon</w:t>
            </w:r>
          </w:p>
        </w:tc>
        <w:tc>
          <w:tcPr>
            <w:tcW w:type="dxa" w:w="3168"/>
          </w:tcPr>
          <w:p>
            <w:r>
              <w:rPr>
                <w:sz w:val="18"/>
              </w:rPr>
              <w:t>News article retrieval</w:t>
            </w:r>
          </w:p>
        </w:tc>
        <w:tc>
          <w:tcPr>
            <w:tcW w:type="dxa" w:w="2016"/>
          </w:tcPr>
          <w:p>
            <w:r>
              <w:rPr>
                <w:sz w:val="18"/>
              </w:rPr>
              <w:t>Public</w:t>
            </w:r>
          </w:p>
        </w:tc>
        <w:tc>
          <w:tcPr>
            <w:tcW w:type="dxa" w:w="2160"/>
          </w:tcPr>
          <w:p>
            <w:r>
              <w:rPr>
                <w:sz w:val="18"/>
              </w:rPr>
              <w:t>No restriction - public data only</w:t>
            </w:r>
          </w:p>
        </w:tc>
      </w:tr>
    </w:tbl>
    <w:p/>
    <w:p>
      <w:r>
        <w:t>The distinction that matters operationally: 'Confidential permitted, Restricted prohibited' is a statement about what the platform must prevent, not a description of what it currently prevents. Where a code path can carry PHI to a provider without a BAA, that path is a finding and is tracked in the POA&amp;M.</w:t>
      </w:r>
    </w:p>
    <w:p>
      <w:pPr>
        <w:pStyle w:val="Heading1"/>
      </w:pPr>
      <w:r>
        <w:t>4. Known PHI exposure paths</w:t>
      </w:r>
    </w:p>
    <w:tbl>
      <w:tblPr>
        <w:tblStyle w:val="TableGrid"/>
        <w:tblW w:type="auto" w:w="0"/>
        <w:tblLook w:firstColumn="1" w:firstRow="1" w:lastColumn="0" w:lastRow="0" w:noHBand="0" w:noVBand="1" w:val="04A0"/>
      </w:tblPr>
      <w:tblGrid>
        <w:gridCol w:w="3120"/>
        <w:gridCol w:w="3120"/>
        <w:gridCol w:w="3120"/>
      </w:tblGrid>
      <w:tr>
        <w:tc>
          <w:tcPr>
            <w:tcW w:type="dxa" w:w="2448"/>
            <w:shd w:val="clear" w:fill="0F2B4C"/>
          </w:tcPr>
          <w:p>
            <w:r>
              <w:rPr>
                <w:b/>
                <w:color w:val="FFFFFF"/>
                <w:sz w:val="18"/>
              </w:rPr>
              <w:t>Path</w:t>
            </w:r>
          </w:p>
        </w:tc>
        <w:tc>
          <w:tcPr>
            <w:tcW w:type="dxa" w:w="3168"/>
            <w:shd w:val="clear" w:fill="0F2B4C"/>
          </w:tcPr>
          <w:p>
            <w:r>
              <w:rPr>
                <w:b/>
                <w:color w:val="FFFFFF"/>
                <w:sz w:val="18"/>
              </w:rPr>
              <w:t>Data sent</w:t>
            </w:r>
          </w:p>
        </w:tc>
        <w:tc>
          <w:tcPr>
            <w:tcW w:type="dxa" w:w="3312"/>
            <w:shd w:val="clear" w:fill="0F2B4C"/>
          </w:tcPr>
          <w:p>
            <w:r>
              <w:rPr>
                <w:b/>
                <w:color w:val="FFFFFF"/>
                <w:sz w:val="18"/>
              </w:rPr>
              <w:t>Control status</w:t>
            </w:r>
          </w:p>
        </w:tc>
      </w:tr>
      <w:tr>
        <w:tc>
          <w:tcPr>
            <w:tcW w:type="dxa" w:w="2448"/>
          </w:tcPr>
          <w:p>
            <w:r>
              <w:rPr>
                <w:sz w:val="18"/>
              </w:rPr>
              <w:t>Audio transcription pipeline</w:t>
            </w:r>
          </w:p>
        </w:tc>
        <w:tc>
          <w:tcPr>
            <w:tcW w:type="dxa" w:w="3168"/>
          </w:tcPr>
          <w:p>
            <w:r>
              <w:rPr>
                <w:sz w:val="18"/>
              </w:rPr>
              <w:t>Raw audio, unredacted, sent to the transcription provider</w:t>
            </w:r>
          </w:p>
        </w:tc>
        <w:tc>
          <w:tcPr>
            <w:tcW w:type="dxa" w:w="3312"/>
          </w:tcPr>
          <w:p>
            <w:r>
              <w:rPr>
                <w:sz w:val="18"/>
              </w:rPr>
              <w:t>No pre-transmission redaction. Disclosed in the API response rather than implied.</w:t>
            </w:r>
          </w:p>
        </w:tc>
      </w:tr>
      <w:tr>
        <w:tc>
          <w:tcPr>
            <w:tcW w:type="dxa" w:w="2448"/>
          </w:tcPr>
          <w:p>
            <w:r>
              <w:rPr>
                <w:sz w:val="18"/>
              </w:rPr>
              <w:t>Case-management note generation</w:t>
            </w:r>
          </w:p>
        </w:tc>
        <w:tc>
          <w:tcPr>
            <w:tcW w:type="dxa" w:w="3168"/>
          </w:tcPr>
          <w:p>
            <w:r>
              <w:rPr>
                <w:sz w:val="18"/>
              </w:rPr>
              <w:t>Clinical facts extracted from user-supplied text</w:t>
            </w:r>
          </w:p>
        </w:tc>
        <w:tc>
          <w:tcPr>
            <w:tcW w:type="dxa" w:w="3312"/>
          </w:tcPr>
          <w:p>
            <w:r>
              <w:rPr>
                <w:sz w:val="18"/>
              </w:rPr>
              <w:t>Human review required before clinical use</w:t>
            </w:r>
          </w:p>
        </w:tc>
      </w:tr>
      <w:tr>
        <w:tc>
          <w:tcPr>
            <w:tcW w:type="dxa" w:w="2448"/>
          </w:tcPr>
          <w:p>
            <w:r>
              <w:rPr>
                <w:sz w:val="18"/>
              </w:rPr>
              <w:t>Document analysis</w:t>
            </w:r>
          </w:p>
        </w:tc>
        <w:tc>
          <w:tcPr>
            <w:tcW w:type="dxa" w:w="3168"/>
          </w:tcPr>
          <w:p>
            <w:r>
              <w:rPr>
                <w:sz w:val="18"/>
              </w:rPr>
              <w:t>Document text as supplied by the user</w:t>
            </w:r>
          </w:p>
        </w:tc>
        <w:tc>
          <w:tcPr>
            <w:tcW w:type="dxa" w:w="3312"/>
          </w:tcPr>
          <w:p>
            <w:r>
              <w:rPr>
                <w:sz w:val="18"/>
              </w:rPr>
              <w:t>Classification-dependent; user is responsible for input class</w:t>
            </w:r>
          </w:p>
        </w:tc>
      </w:tr>
    </w:tbl>
    <w:p/>
    <w:p>
      <w:r>
        <w:rPr>
          <w:i/>
          <w:color w:val="5A5A5A"/>
          <w:sz w:val="19"/>
        </w:rPr>
        <w:t>The transcription pipeline previously reported a masking step it did not perform. Its phase label and verification fields were corrected to state plainly that audio is sent to the provider unredacted. A control that is described but not implemented is worse than an absent control, because it suppresses the risk assessment that would otherwise occur.</w:t>
      </w:r>
    </w:p>
    <w:p>
      <w:pPr>
        <w:pStyle w:val="Heading1"/>
      </w:pPr>
      <w:r>
        <w:t>5. Mandatory controls</w:t>
      </w:r>
    </w:p>
    <w:p>
      <w:pPr>
        <w:pStyle w:val="ListBullet"/>
      </w:pPr>
      <w:r>
        <w:t>Zero data retention terms are required in any agreement covering Confidential or Restricted data.</w:t>
      </w:r>
    </w:p>
    <w:p>
      <w:pPr>
        <w:pStyle w:val="ListBullet"/>
      </w:pPr>
      <w:r>
        <w:t>Training on AGT or customer data is contractually prohibited for all providers.</w:t>
      </w:r>
    </w:p>
    <w:p>
      <w:pPr>
        <w:pStyle w:val="ListBullet"/>
      </w:pPr>
      <w:r>
        <w:t>Prompts must not include credentials, keys, or configuration secrets. Where code is sent for analysis, secret values are scrubbed before transmission.</w:t>
      </w:r>
    </w:p>
    <w:p>
      <w:pPr>
        <w:pStyle w:val="ListBullet"/>
      </w:pPr>
      <w:r>
        <w:t>Only excerpts necessary for the task are sent, not entire files or datasets.</w:t>
      </w:r>
    </w:p>
    <w:p>
      <w:pPr>
        <w:pStyle w:val="ListBullet"/>
      </w:pPr>
      <w:r>
        <w:t>AI-generated clinical content is never delivered to a patient or entered into a record without human review.</w:t>
      </w:r>
    </w:p>
    <w:p>
      <w:pPr>
        <w:pStyle w:val="ListBullet"/>
      </w:pPr>
      <w:r>
        <w:t>AI outputs that inform a security or compliance conclusion are labelled as AI-generated and carry the model's own confidence, so that an LLM opinion is never silently promoted to the standing of a deterministic result.</w:t>
      </w:r>
    </w:p>
    <w:p>
      <w:pPr>
        <w:pStyle w:val="Heading1"/>
      </w:pPr>
      <w:r>
        <w:t>6. Human-in-the-loop requirements</w:t>
      </w:r>
    </w:p>
    <w:tbl>
      <w:tblPr>
        <w:tblStyle w:val="TableGrid"/>
        <w:tblW w:type="auto" w:w="0"/>
        <w:tblLook w:firstColumn="1" w:firstRow="1" w:lastColumn="0" w:lastRow="0" w:noHBand="0" w:noVBand="1" w:val="04A0"/>
      </w:tblPr>
      <w:tblGrid>
        <w:gridCol w:w="3120"/>
        <w:gridCol w:w="3120"/>
        <w:gridCol w:w="3120"/>
      </w:tblGrid>
      <w:tr>
        <w:tc>
          <w:tcPr>
            <w:tcW w:type="dxa" w:w="3168"/>
            <w:shd w:val="clear" w:fill="0F2B4C"/>
          </w:tcPr>
          <w:p>
            <w:r>
              <w:rPr>
                <w:b/>
                <w:color w:val="FFFFFF"/>
                <w:sz w:val="18"/>
              </w:rPr>
              <w:t>Output type</w:t>
            </w:r>
          </w:p>
        </w:tc>
        <w:tc>
          <w:tcPr>
            <w:tcW w:type="dxa" w:w="2736"/>
            <w:shd w:val="clear" w:fill="0F2B4C"/>
          </w:tcPr>
          <w:p>
            <w:r>
              <w:rPr>
                <w:b/>
                <w:color w:val="FFFFFF"/>
                <w:sz w:val="18"/>
              </w:rPr>
              <w:t>Review required</w:t>
            </w:r>
          </w:p>
        </w:tc>
        <w:tc>
          <w:tcPr>
            <w:tcW w:type="dxa" w:w="3024"/>
            <w:shd w:val="clear" w:fill="0F2B4C"/>
          </w:tcPr>
          <w:p>
            <w:r>
              <w:rPr>
                <w:b/>
                <w:color w:val="FFFFFF"/>
                <w:sz w:val="18"/>
              </w:rPr>
              <w:t>Reviewer</w:t>
            </w:r>
          </w:p>
        </w:tc>
      </w:tr>
      <w:tr>
        <w:tc>
          <w:tcPr>
            <w:tcW w:type="dxa" w:w="3168"/>
          </w:tcPr>
          <w:p>
            <w:r>
              <w:rPr>
                <w:sz w:val="18"/>
              </w:rPr>
              <w:t>Clinical note, care plan, discharge summary</w:t>
            </w:r>
          </w:p>
        </w:tc>
        <w:tc>
          <w:tcPr>
            <w:tcW w:type="dxa" w:w="2736"/>
          </w:tcPr>
          <w:p>
            <w:r>
              <w:rPr>
                <w:sz w:val="18"/>
              </w:rPr>
              <w:t>Always, before clinical use</w:t>
            </w:r>
          </w:p>
        </w:tc>
        <w:tc>
          <w:tcPr>
            <w:tcW w:type="dxa" w:w="3024"/>
          </w:tcPr>
          <w:p>
            <w:r>
              <w:rPr>
                <w:sz w:val="18"/>
              </w:rPr>
              <w:t>Licensed clinician</w:t>
            </w:r>
          </w:p>
        </w:tc>
      </w:tr>
      <w:tr>
        <w:tc>
          <w:tcPr>
            <w:tcW w:type="dxa" w:w="3168"/>
          </w:tcPr>
          <w:p>
            <w:r>
              <w:rPr>
                <w:sz w:val="18"/>
              </w:rPr>
              <w:t>Transcription of clinical audio</w:t>
            </w:r>
          </w:p>
        </w:tc>
        <w:tc>
          <w:tcPr>
            <w:tcW w:type="dxa" w:w="2736"/>
          </w:tcPr>
          <w:p>
            <w:r>
              <w:rPr>
                <w:sz w:val="18"/>
              </w:rPr>
              <w:t>Always, before entry into a record</w:t>
            </w:r>
          </w:p>
        </w:tc>
        <w:tc>
          <w:tcPr>
            <w:tcW w:type="dxa" w:w="3024"/>
          </w:tcPr>
          <w:p>
            <w:r>
              <w:rPr>
                <w:sz w:val="18"/>
              </w:rPr>
              <w:t>Clinical staff</w:t>
            </w:r>
          </w:p>
        </w:tc>
      </w:tr>
      <w:tr>
        <w:tc>
          <w:tcPr>
            <w:tcW w:type="dxa" w:w="3168"/>
          </w:tcPr>
          <w:p>
            <w:r>
              <w:rPr>
                <w:sz w:val="18"/>
              </w:rPr>
              <w:t>Compliance or security finding</w:t>
            </w:r>
          </w:p>
        </w:tc>
        <w:tc>
          <w:tcPr>
            <w:tcW w:type="dxa" w:w="2736"/>
          </w:tcPr>
          <w:p>
            <w:r>
              <w:rPr>
                <w:sz w:val="18"/>
              </w:rPr>
              <w:t>Always, before remediation action</w:t>
            </w:r>
          </w:p>
        </w:tc>
        <w:tc>
          <w:tcPr>
            <w:tcW w:type="dxa" w:w="3024"/>
          </w:tcPr>
          <w:p>
            <w:r>
              <w:rPr>
                <w:sz w:val="18"/>
              </w:rPr>
              <w:t>Security Officer</w:t>
            </w:r>
          </w:p>
        </w:tc>
      </w:tr>
      <w:tr>
        <w:tc>
          <w:tcPr>
            <w:tcW w:type="dxa" w:w="3168"/>
          </w:tcPr>
          <w:p>
            <w:r>
              <w:rPr>
                <w:sz w:val="18"/>
              </w:rPr>
              <w:t>Published bulletin content</w:t>
            </w:r>
          </w:p>
        </w:tc>
        <w:tc>
          <w:tcPr>
            <w:tcW w:type="dxa" w:w="2736"/>
          </w:tcPr>
          <w:p>
            <w:r>
              <w:rPr>
                <w:sz w:val="18"/>
              </w:rPr>
              <w:t>Editorial review before delivery</w:t>
            </w:r>
          </w:p>
        </w:tc>
        <w:tc>
          <w:tcPr>
            <w:tcW w:type="dxa" w:w="3024"/>
          </w:tcPr>
          <w:p>
            <w:r>
              <w:rPr>
                <w:sz w:val="18"/>
              </w:rPr>
              <w:t>Editorial lead</w:t>
            </w:r>
          </w:p>
        </w:tc>
      </w:tr>
    </w:tbl>
    <w:p/>
    <w:p>
      <w:r>
        <w:t>The escalation logic that routes content to human review must fail safe. A rule that escalates only when the model reports a positive detection will silently stop escalating if the model reports nothing - which is exactly what happens when a prompt template pre-fills a zero count. Escalation is therefore triggered by absence of verification as well as by positive detection.</w:t>
      </w:r>
    </w:p>
    <w:p>
      <w:pPr>
        <w:pStyle w:val="Heading1"/>
      </w:pPr>
      <w:r>
        <w:t>7. Prompt and output security</w:t>
      </w:r>
    </w:p>
    <w:p>
      <w:pPr>
        <w:pStyle w:val="ListBullet"/>
      </w:pPr>
      <w:r>
        <w:t>Untrusted content in a prompt is treated as data, not instructions. Prompt injection is assumed rather than hoped against.</w:t>
      </w:r>
    </w:p>
    <w:p>
      <w:pPr>
        <w:pStyle w:val="ListBullet"/>
      </w:pPr>
      <w:r>
        <w:t>AI output is not executed, and is not interpolated into a query, command, or template without validation.</w:t>
      </w:r>
    </w:p>
    <w:p>
      <w:pPr>
        <w:pStyle w:val="ListBullet"/>
      </w:pPr>
      <w:r>
        <w:t>Prompts and outputs containing Confidential data are not logged in plaintext.</w:t>
      </w:r>
    </w:p>
    <w:p>
      <w:pPr>
        <w:pStyle w:val="ListBullet"/>
      </w:pPr>
      <w:r>
        <w:t>API keys for AI providers are held in Key Vault (AGT-CKM-009).</w:t>
      </w:r>
    </w:p>
    <w:p>
      <w:pPr>
        <w:pStyle w:val="Heading1"/>
      </w:pPr>
      <w:r>
        <w:t>8. Cost and abuse controls</w:t>
      </w:r>
    </w:p>
    <w:p>
      <w:r>
        <w:t>AI inference is a metered, attacker-exploitable resource. An unauthenticated endpoint that triggers inference is a cost-amplification vector as well as an information-disclosure one.</w:t>
      </w:r>
    </w:p>
    <w:p>
      <w:pPr>
        <w:pStyle w:val="ListBullet"/>
      </w:pPr>
      <w:r>
        <w:t>Endpoints that trigger inference require authentication and are rate-limited.</w:t>
      </w:r>
    </w:p>
    <w:p>
      <w:pPr>
        <w:pStyle w:val="ListBullet"/>
      </w:pPr>
      <w:r>
        <w:t>Endpoints that report spend and token consumption require authentication, because they hand an attacker the measurement needed to size an amplification attack.</w:t>
      </w:r>
    </w:p>
    <w:p>
      <w:pPr>
        <w:pStyle w:val="ListBullet"/>
      </w:pPr>
      <w:r>
        <w:t>Per-run cost is tracked and reviewed; unexplained increases are investigated.</w:t>
      </w:r>
    </w:p>
    <w:p>
      <w:pPr>
        <w:pStyle w:val="Heading1"/>
      </w:pPr>
      <w:r>
        <w:t>9. AI risk register</w:t>
      </w:r>
    </w:p>
    <w:tbl>
      <w:tblPr>
        <w:tblStyle w:val="TableGrid"/>
        <w:tblW w:type="auto" w:w="0"/>
        <w:tblLook w:firstColumn="1" w:firstRow="1" w:lastColumn="0" w:lastRow="0" w:noHBand="0" w:noVBand="1" w:val="04A0"/>
      </w:tblPr>
      <w:tblGrid>
        <w:gridCol w:w="2340"/>
        <w:gridCol w:w="2340"/>
        <w:gridCol w:w="2340"/>
        <w:gridCol w:w="2340"/>
      </w:tblGrid>
      <w:tr>
        <w:tc>
          <w:tcPr>
            <w:tcW w:type="dxa" w:w="3168"/>
            <w:shd w:val="clear" w:fill="0F2B4C"/>
          </w:tcPr>
          <w:p>
            <w:r>
              <w:rPr>
                <w:b/>
                <w:color w:val="FFFFFF"/>
                <w:sz w:val="18"/>
              </w:rPr>
              <w:t>Risk</w:t>
            </w:r>
          </w:p>
        </w:tc>
        <w:tc>
          <w:tcPr>
            <w:tcW w:type="dxa" w:w="1440"/>
            <w:shd w:val="clear" w:fill="0F2B4C"/>
          </w:tcPr>
          <w:p>
            <w:r>
              <w:rPr>
                <w:b/>
                <w:color w:val="FFFFFF"/>
                <w:sz w:val="18"/>
              </w:rPr>
              <w:t>Likelihood</w:t>
            </w:r>
          </w:p>
        </w:tc>
        <w:tc>
          <w:tcPr>
            <w:tcW w:type="dxa" w:w="1296"/>
            <w:shd w:val="clear" w:fill="0F2B4C"/>
          </w:tcPr>
          <w:p>
            <w:r>
              <w:rPr>
                <w:b/>
                <w:color w:val="FFFFFF"/>
                <w:sz w:val="18"/>
              </w:rPr>
              <w:t>Impact</w:t>
            </w:r>
          </w:p>
        </w:tc>
        <w:tc>
          <w:tcPr>
            <w:tcW w:type="dxa" w:w="3024"/>
            <w:shd w:val="clear" w:fill="0F2B4C"/>
          </w:tcPr>
          <w:p>
            <w:r>
              <w:rPr>
                <w:b/>
                <w:color w:val="FFFFFF"/>
                <w:sz w:val="18"/>
              </w:rPr>
              <w:t>Treatment</w:t>
            </w:r>
          </w:p>
        </w:tc>
      </w:tr>
      <w:tr>
        <w:tc>
          <w:tcPr>
            <w:tcW w:type="dxa" w:w="3168"/>
          </w:tcPr>
          <w:p>
            <w:r>
              <w:rPr>
                <w:sz w:val="18"/>
              </w:rPr>
              <w:t>PHI reaches a provider without a BAA</w:t>
            </w:r>
          </w:p>
        </w:tc>
        <w:tc>
          <w:tcPr>
            <w:tcW w:type="dxa" w:w="1440"/>
          </w:tcPr>
          <w:p>
            <w:r>
              <w:rPr>
                <w:sz w:val="18"/>
              </w:rPr>
              <w:t>Medium</w:t>
            </w:r>
          </w:p>
        </w:tc>
        <w:tc>
          <w:tcPr>
            <w:tcW w:type="dxa" w:w="1296"/>
          </w:tcPr>
          <w:p>
            <w:r>
              <w:rPr>
                <w:sz w:val="18"/>
              </w:rPr>
              <w:t>High</w:t>
            </w:r>
          </w:p>
        </w:tc>
        <w:tc>
          <w:tcPr>
            <w:tcW w:type="dxa" w:w="3024"/>
          </w:tcPr>
          <w:p>
            <w:r>
              <w:rPr>
                <w:sz w:val="18"/>
              </w:rPr>
              <w:t>Execute BAAs; block PHI paths until then</w:t>
            </w:r>
          </w:p>
        </w:tc>
      </w:tr>
      <w:tr>
        <w:tc>
          <w:tcPr>
            <w:tcW w:type="dxa" w:w="3168"/>
          </w:tcPr>
          <w:p>
            <w:r>
              <w:rPr>
                <w:sz w:val="18"/>
              </w:rPr>
              <w:t>Prompt injection alters model behaviour</w:t>
            </w:r>
          </w:p>
        </w:tc>
        <w:tc>
          <w:tcPr>
            <w:tcW w:type="dxa" w:w="1440"/>
          </w:tcPr>
          <w:p>
            <w:r>
              <w:rPr>
                <w:sz w:val="18"/>
              </w:rPr>
              <w:t>Medium</w:t>
            </w:r>
          </w:p>
        </w:tc>
        <w:tc>
          <w:tcPr>
            <w:tcW w:type="dxa" w:w="1296"/>
          </w:tcPr>
          <w:p>
            <w:r>
              <w:rPr>
                <w:sz w:val="18"/>
              </w:rPr>
              <w:t>Medium</w:t>
            </w:r>
          </w:p>
        </w:tc>
        <w:tc>
          <w:tcPr>
            <w:tcW w:type="dxa" w:w="3024"/>
          </w:tcPr>
          <w:p>
            <w:r>
              <w:rPr>
                <w:sz w:val="18"/>
              </w:rPr>
              <w:t>Treat content as data; validate outputs</w:t>
            </w:r>
          </w:p>
        </w:tc>
      </w:tr>
      <w:tr>
        <w:tc>
          <w:tcPr>
            <w:tcW w:type="dxa" w:w="3168"/>
          </w:tcPr>
          <w:p>
            <w:r>
              <w:rPr>
                <w:sz w:val="18"/>
              </w:rPr>
              <w:t>Model output is clinically wrong and acted upon</w:t>
            </w:r>
          </w:p>
        </w:tc>
        <w:tc>
          <w:tcPr>
            <w:tcW w:type="dxa" w:w="1440"/>
          </w:tcPr>
          <w:p>
            <w:r>
              <w:rPr>
                <w:sz w:val="18"/>
              </w:rPr>
              <w:t>Medium</w:t>
            </w:r>
          </w:p>
        </w:tc>
        <w:tc>
          <w:tcPr>
            <w:tcW w:type="dxa" w:w="1296"/>
          </w:tcPr>
          <w:p>
            <w:r>
              <w:rPr>
                <w:sz w:val="18"/>
              </w:rPr>
              <w:t>High</w:t>
            </w:r>
          </w:p>
        </w:tc>
        <w:tc>
          <w:tcPr>
            <w:tcW w:type="dxa" w:w="3024"/>
          </w:tcPr>
          <w:p>
            <w:r>
              <w:rPr>
                <w:sz w:val="18"/>
              </w:rPr>
              <w:t>Mandatory human review</w:t>
            </w:r>
          </w:p>
        </w:tc>
      </w:tr>
      <w:tr>
        <w:tc>
          <w:tcPr>
            <w:tcW w:type="dxa" w:w="3168"/>
          </w:tcPr>
          <w:p>
            <w:r>
              <w:rPr>
                <w:sz w:val="18"/>
              </w:rPr>
              <w:t>Provider retains or trains on submitted data</w:t>
            </w:r>
          </w:p>
        </w:tc>
        <w:tc>
          <w:tcPr>
            <w:tcW w:type="dxa" w:w="1440"/>
          </w:tcPr>
          <w:p>
            <w:r>
              <w:rPr>
                <w:sz w:val="18"/>
              </w:rPr>
              <w:t>Low</w:t>
            </w:r>
          </w:p>
        </w:tc>
        <w:tc>
          <w:tcPr>
            <w:tcW w:type="dxa" w:w="1296"/>
          </w:tcPr>
          <w:p>
            <w:r>
              <w:rPr>
                <w:sz w:val="18"/>
              </w:rPr>
              <w:t>High</w:t>
            </w:r>
          </w:p>
        </w:tc>
        <w:tc>
          <w:tcPr>
            <w:tcW w:type="dxa" w:w="3024"/>
          </w:tcPr>
          <w:p>
            <w:r>
              <w:rPr>
                <w:sz w:val="18"/>
              </w:rPr>
              <w:t>Contractual zero-retention and no-training terms</w:t>
            </w:r>
          </w:p>
        </w:tc>
      </w:tr>
      <w:tr>
        <w:tc>
          <w:tcPr>
            <w:tcW w:type="dxa" w:w="3168"/>
          </w:tcPr>
          <w:p>
            <w:r>
              <w:rPr>
                <w:sz w:val="18"/>
              </w:rPr>
              <w:t>Cost amplification via an exposed endpoint</w:t>
            </w:r>
          </w:p>
        </w:tc>
        <w:tc>
          <w:tcPr>
            <w:tcW w:type="dxa" w:w="1440"/>
          </w:tcPr>
          <w:p>
            <w:r>
              <w:rPr>
                <w:sz w:val="18"/>
              </w:rPr>
              <w:t>Low</w:t>
            </w:r>
          </w:p>
        </w:tc>
        <w:tc>
          <w:tcPr>
            <w:tcW w:type="dxa" w:w="1296"/>
          </w:tcPr>
          <w:p>
            <w:r>
              <w:rPr>
                <w:sz w:val="18"/>
              </w:rPr>
              <w:t>Medium</w:t>
            </w:r>
          </w:p>
        </w:tc>
        <w:tc>
          <w:tcPr>
            <w:tcW w:type="dxa" w:w="3024"/>
          </w:tcPr>
          <w:p>
            <w:r>
              <w:rPr>
                <w:sz w:val="18"/>
              </w:rPr>
              <w:t>Authentication and rate limiting</w:t>
            </w:r>
          </w:p>
        </w:tc>
      </w:tr>
      <w:tr>
        <w:tc>
          <w:tcPr>
            <w:tcW w:type="dxa" w:w="3168"/>
          </w:tcPr>
          <w:p>
            <w:r>
              <w:rPr>
                <w:sz w:val="18"/>
              </w:rPr>
              <w:t>Vendor outage halts a dependent workflow</w:t>
            </w:r>
          </w:p>
        </w:tc>
        <w:tc>
          <w:tcPr>
            <w:tcW w:type="dxa" w:w="1440"/>
          </w:tcPr>
          <w:p>
            <w:r>
              <w:rPr>
                <w:sz w:val="18"/>
              </w:rPr>
              <w:t>Medium</w:t>
            </w:r>
          </w:p>
        </w:tc>
        <w:tc>
          <w:tcPr>
            <w:tcW w:type="dxa" w:w="1296"/>
          </w:tcPr>
          <w:p>
            <w:r>
              <w:rPr>
                <w:sz w:val="18"/>
              </w:rPr>
              <w:t>Low</w:t>
            </w:r>
          </w:p>
        </w:tc>
        <w:tc>
          <w:tcPr>
            <w:tcW w:type="dxa" w:w="3024"/>
          </w:tcPr>
          <w:p>
            <w:r>
              <w:rPr>
                <w:sz w:val="18"/>
              </w:rPr>
              <w:t>Graceful degradation; no silent failure</w:t>
            </w:r>
          </w:p>
        </w:tc>
      </w:tr>
    </w:tbl>
    <w:p/>
    <w:p>
      <w:pPr>
        <w:pStyle w:val="Heading1"/>
      </w:pPr>
      <w:r>
        <w:t>10. Responsible AI principles</w:t>
      </w:r>
    </w:p>
    <w:p>
      <w:pPr>
        <w:pStyle w:val="ListBullet"/>
      </w:pPr>
      <w:r>
        <w:t>Transparency: users are told when content is AI-generated.</w:t>
      </w:r>
    </w:p>
    <w:p>
      <w:pPr>
        <w:pStyle w:val="ListBullet"/>
      </w:pPr>
      <w:r>
        <w:t>Accountability: a named human is responsible for every AI-informed decision.</w:t>
      </w:r>
    </w:p>
    <w:p>
      <w:pPr>
        <w:pStyle w:val="ListBullet"/>
      </w:pPr>
      <w:r>
        <w:t>Fairness: outputs affecting individuals are reviewed for disparate impact.</w:t>
      </w:r>
    </w:p>
    <w:p>
      <w:pPr>
        <w:pStyle w:val="ListBullet"/>
      </w:pPr>
      <w:r>
        <w:t>Contestability: an individual affected by an AI-informed decision can request human review.</w:t>
      </w:r>
    </w:p>
    <w:p>
      <w:pPr>
        <w:pStyle w:val="ListBullet"/>
      </w:pPr>
      <w:r>
        <w:t>Honesty about capability: the platform does not describe a safeguard it does not implement.</w:t>
      </w:r>
    </w:p>
    <w:p>
      <w:pPr>
        <w:pStyle w:val="Heading2"/>
      </w:pPr>
      <w:r>
        <w:t>Roles and responsibilities</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Role</w:t>
            </w:r>
          </w:p>
        </w:tc>
        <w:tc>
          <w:tcPr>
            <w:tcW w:type="dxa" w:w="6336"/>
            <w:shd w:val="clear" w:fill="0F2B4C"/>
          </w:tcPr>
          <w:p>
            <w:r>
              <w:rPr>
                <w:b/>
                <w:color w:val="FFFFFF"/>
                <w:sz w:val="18"/>
              </w:rPr>
              <w:t>Responsibility</w:t>
            </w:r>
          </w:p>
        </w:tc>
      </w:tr>
      <w:tr>
        <w:tc>
          <w:tcPr>
            <w:tcW w:type="dxa" w:w="2592"/>
          </w:tcPr>
          <w:p>
            <w:r>
              <w:rPr>
                <w:sz w:val="18"/>
              </w:rPr>
              <w:t>CEO</w:t>
            </w:r>
          </w:p>
        </w:tc>
        <w:tc>
          <w:tcPr>
            <w:tcW w:type="dxa" w:w="6336"/>
          </w:tcPr>
          <w:p>
            <w:r>
              <w:rPr>
                <w:sz w:val="18"/>
              </w:rPr>
              <w:t>Approves AI providers and accepts residual AI risk.</w:t>
            </w:r>
          </w:p>
        </w:tc>
      </w:tr>
      <w:tr>
        <w:tc>
          <w:tcPr>
            <w:tcW w:type="dxa" w:w="2592"/>
          </w:tcPr>
          <w:p>
            <w:r>
              <w:rPr>
                <w:sz w:val="18"/>
              </w:rPr>
              <w:t>Privacy Officer</w:t>
            </w:r>
          </w:p>
        </w:tc>
        <w:tc>
          <w:tcPr>
            <w:tcW w:type="dxa" w:w="6336"/>
          </w:tcPr>
          <w:p>
            <w:r>
              <w:rPr>
                <w:sz w:val="18"/>
              </w:rPr>
              <w:t>Determines whether a data flow constitutes PHI disclosure.</w:t>
            </w:r>
          </w:p>
        </w:tc>
      </w:tr>
      <w:tr>
        <w:tc>
          <w:tcPr>
            <w:tcW w:type="dxa" w:w="2592"/>
          </w:tcPr>
          <w:p>
            <w:r>
              <w:rPr>
                <w:sz w:val="18"/>
              </w:rPr>
              <w:t>Security Officer</w:t>
            </w:r>
          </w:p>
        </w:tc>
        <w:tc>
          <w:tcPr>
            <w:tcW w:type="dxa" w:w="6336"/>
          </w:tcPr>
          <w:p>
            <w:r>
              <w:rPr>
                <w:sz w:val="18"/>
              </w:rPr>
              <w:t>Maintains the AI risk register; verifies scrubbing and rate limits.</w:t>
            </w:r>
          </w:p>
        </w:tc>
      </w:tr>
      <w:tr>
        <w:tc>
          <w:tcPr>
            <w:tcW w:type="dxa" w:w="2592"/>
          </w:tcPr>
          <w:p>
            <w:r>
              <w:rPr>
                <w:sz w:val="18"/>
              </w:rPr>
              <w:t>Engineering</w:t>
            </w:r>
          </w:p>
        </w:tc>
        <w:tc>
          <w:tcPr>
            <w:tcW w:type="dxa" w:w="6336"/>
          </w:tcPr>
          <w:p>
            <w:r>
              <w:rPr>
                <w:sz w:val="18"/>
              </w:rPr>
              <w:t>Implements data-minimization, redaction, and fail-safe escalation.</w:t>
            </w:r>
          </w:p>
        </w:tc>
      </w:tr>
      <w:tr>
        <w:tc>
          <w:tcPr>
            <w:tcW w:type="dxa" w:w="2592"/>
          </w:tcPr>
          <w:p>
            <w:r>
              <w:rPr>
                <w:sz w:val="18"/>
              </w:rPr>
              <w:t>Clinical staff</w:t>
            </w:r>
          </w:p>
        </w:tc>
        <w:tc>
          <w:tcPr>
            <w:tcW w:type="dxa" w:w="6336"/>
          </w:tcPr>
          <w:p>
            <w:r>
              <w:rPr>
                <w:sz w:val="18"/>
              </w:rPr>
              <w:t>Perform mandatory human review of clinical AI output.</w:t>
            </w:r>
          </w:p>
        </w:tc>
      </w:tr>
    </w:tbl>
    <w:p/>
    <w:p>
      <w:r>
        <w:br w:type="page"/>
      </w:r>
    </w:p>
    <w:p>
      <w:pPr>
        <w:pStyle w:val="Heading2"/>
      </w:pPr>
      <w:r>
        <w:t>Compliance mapping</w:t>
      </w:r>
    </w:p>
    <w:p>
      <w:r>
        <w:t>Each framework reference below identifies the control this document is written to satisfy. Where a control is only partially satisfied, the gap is stated in the row rather than omitted - a mapping table that shows only green is not evidence, it is decoration.</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fill="0F2B4C"/>
          </w:tcPr>
          <w:p>
            <w:r>
              <w:rPr>
                <w:b/>
                <w:color w:val="FFFFFF"/>
                <w:sz w:val="18"/>
              </w:rPr>
              <w:t>Framework</w:t>
            </w:r>
          </w:p>
        </w:tc>
        <w:tc>
          <w:tcPr>
            <w:tcW w:type="dxa" w:w="2160"/>
            <w:shd w:val="clear" w:fill="0F2B4C"/>
          </w:tcPr>
          <w:p>
            <w:r>
              <w:rPr>
                <w:b/>
                <w:color w:val="FFFFFF"/>
                <w:sz w:val="18"/>
              </w:rPr>
              <w:t>Control reference</w:t>
            </w:r>
          </w:p>
        </w:tc>
        <w:tc>
          <w:tcPr>
            <w:tcW w:type="dxa" w:w="4320"/>
            <w:shd w:val="clear" w:fill="0F2B4C"/>
          </w:tcPr>
          <w:p>
            <w:r>
              <w:rPr>
                <w:b/>
                <w:color w:val="FFFFFF"/>
                <w:sz w:val="18"/>
              </w:rPr>
              <w:t>How this document satisfies it</w:t>
            </w:r>
          </w:p>
        </w:tc>
        <w:tc>
          <w:tcPr>
            <w:tcW w:type="dxa" w:w="1152"/>
            <w:shd w:val="clear" w:fill="0F2B4C"/>
          </w:tcPr>
          <w:p>
            <w:r>
              <w:rPr>
                <w:b/>
                <w:color w:val="FFFFFF"/>
                <w:sz w:val="18"/>
              </w:rPr>
              <w:t>Status</w:t>
            </w:r>
          </w:p>
        </w:tc>
      </w:tr>
      <w:tr>
        <w:tc>
          <w:tcPr>
            <w:tcW w:type="dxa" w:w="1584"/>
          </w:tcPr>
          <w:p>
            <w:r>
              <w:rPr>
                <w:sz w:val="18"/>
              </w:rPr>
              <w:t>NIST AI RMF</w:t>
            </w:r>
          </w:p>
        </w:tc>
        <w:tc>
          <w:tcPr>
            <w:tcW w:type="dxa" w:w="2160"/>
          </w:tcPr>
          <w:p>
            <w:r>
              <w:rPr>
                <w:sz w:val="18"/>
              </w:rPr>
              <w:t>GOVERN, MAP, MEASURE, MANAGE</w:t>
            </w:r>
          </w:p>
        </w:tc>
        <w:tc>
          <w:tcPr>
            <w:tcW w:type="dxa" w:w="4320"/>
          </w:tcPr>
          <w:p>
            <w:r>
              <w:rPr>
                <w:sz w:val="18"/>
              </w:rPr>
              <w:t>AI risk governance, context mapping, measurement, and treatment.</w:t>
            </w:r>
          </w:p>
        </w:tc>
        <w:tc>
          <w:tcPr>
            <w:tcW w:type="dxa" w:w="1152"/>
          </w:tcPr>
          <w:p>
            <w:r>
              <w:rPr>
                <w:sz w:val="18"/>
              </w:rPr>
              <w:t>Met</w:t>
            </w:r>
          </w:p>
        </w:tc>
      </w:tr>
      <w:tr>
        <w:tc>
          <w:tcPr>
            <w:tcW w:type="dxa" w:w="1584"/>
          </w:tcPr>
          <w:p>
            <w:r>
              <w:rPr>
                <w:sz w:val="18"/>
              </w:rPr>
              <w:t>NIST 800-53</w:t>
            </w:r>
          </w:p>
        </w:tc>
        <w:tc>
          <w:tcPr>
            <w:tcW w:type="dxa" w:w="2160"/>
          </w:tcPr>
          <w:p>
            <w:r>
              <w:rPr>
                <w:sz w:val="18"/>
              </w:rPr>
              <w:t>SA-9, SI-10, AC-4</w:t>
            </w:r>
          </w:p>
        </w:tc>
        <w:tc>
          <w:tcPr>
            <w:tcW w:type="dxa" w:w="4320"/>
          </w:tcPr>
          <w:p>
            <w:r>
              <w:rPr>
                <w:sz w:val="18"/>
              </w:rPr>
              <w:t>External services, input validation, information flow enforcement.</w:t>
            </w:r>
          </w:p>
        </w:tc>
        <w:tc>
          <w:tcPr>
            <w:tcW w:type="dxa" w:w="1152"/>
          </w:tcPr>
          <w:p>
            <w:r>
              <w:rPr>
                <w:sz w:val="18"/>
              </w:rPr>
              <w:t>Met</w:t>
            </w:r>
          </w:p>
        </w:tc>
      </w:tr>
      <w:tr>
        <w:tc>
          <w:tcPr>
            <w:tcW w:type="dxa" w:w="1584"/>
          </w:tcPr>
          <w:p>
            <w:r>
              <w:rPr>
                <w:sz w:val="18"/>
              </w:rPr>
              <w:t>HIPAA</w:t>
            </w:r>
          </w:p>
        </w:tc>
        <w:tc>
          <w:tcPr>
            <w:tcW w:type="dxa" w:w="2160"/>
          </w:tcPr>
          <w:p>
            <w:r>
              <w:rPr>
                <w:sz w:val="18"/>
              </w:rPr>
              <w:t>164.308(b)(1)</w:t>
            </w:r>
          </w:p>
        </w:tc>
        <w:tc>
          <w:tcPr>
            <w:tcW w:type="dxa" w:w="4320"/>
          </w:tcPr>
          <w:p>
            <w:r>
              <w:rPr>
                <w:sz w:val="18"/>
              </w:rPr>
              <w:t>Business associate assurances before PHI disclosure to AI vendors.</w:t>
            </w:r>
          </w:p>
        </w:tc>
        <w:tc>
          <w:tcPr>
            <w:tcW w:type="dxa" w:w="1152"/>
          </w:tcPr>
          <w:p>
            <w:r>
              <w:rPr>
                <w:sz w:val="18"/>
              </w:rPr>
              <w:t>Open - see AGT-VRM-012</w:t>
            </w:r>
          </w:p>
        </w:tc>
      </w:tr>
      <w:tr>
        <w:tc>
          <w:tcPr>
            <w:tcW w:type="dxa" w:w="1584"/>
          </w:tcPr>
          <w:p>
            <w:r>
              <w:rPr>
                <w:sz w:val="18"/>
              </w:rPr>
              <w:t>HIPAA</w:t>
            </w:r>
          </w:p>
        </w:tc>
        <w:tc>
          <w:tcPr>
            <w:tcW w:type="dxa" w:w="2160"/>
          </w:tcPr>
          <w:p>
            <w:r>
              <w:rPr>
                <w:sz w:val="18"/>
              </w:rPr>
              <w:t>164.502(b)</w:t>
            </w:r>
          </w:p>
        </w:tc>
        <w:tc>
          <w:tcPr>
            <w:tcW w:type="dxa" w:w="4320"/>
          </w:tcPr>
          <w:p>
            <w:r>
              <w:rPr>
                <w:sz w:val="18"/>
              </w:rPr>
              <w:t>Minimum necessary applied to prompt content.</w:t>
            </w:r>
          </w:p>
        </w:tc>
        <w:tc>
          <w:tcPr>
            <w:tcW w:type="dxa" w:w="1152"/>
          </w:tcPr>
          <w:p>
            <w:r>
              <w:rPr>
                <w:sz w:val="18"/>
              </w:rPr>
              <w:t>Met</w:t>
            </w:r>
          </w:p>
        </w:tc>
      </w:tr>
      <w:tr>
        <w:tc>
          <w:tcPr>
            <w:tcW w:type="dxa" w:w="1584"/>
          </w:tcPr>
          <w:p>
            <w:r>
              <w:rPr>
                <w:sz w:val="18"/>
              </w:rPr>
              <w:t>SOC 2</w:t>
            </w:r>
          </w:p>
        </w:tc>
        <w:tc>
          <w:tcPr>
            <w:tcW w:type="dxa" w:w="2160"/>
          </w:tcPr>
          <w:p>
            <w:r>
              <w:rPr>
                <w:sz w:val="18"/>
              </w:rPr>
              <w:t>CC9.2, CC3.2</w:t>
            </w:r>
          </w:p>
        </w:tc>
        <w:tc>
          <w:tcPr>
            <w:tcW w:type="dxa" w:w="4320"/>
          </w:tcPr>
          <w:p>
            <w:r>
              <w:rPr>
                <w:sz w:val="18"/>
              </w:rPr>
              <w:t>Vendor risk and risk identification for AI services.</w:t>
            </w:r>
          </w:p>
        </w:tc>
        <w:tc>
          <w:tcPr>
            <w:tcW w:type="dxa" w:w="1152"/>
          </w:tcPr>
          <w:p>
            <w:r>
              <w:rPr>
                <w:sz w:val="18"/>
              </w:rPr>
              <w:t>Met</w:t>
            </w:r>
          </w:p>
        </w:tc>
      </w:tr>
      <w:tr>
        <w:tc>
          <w:tcPr>
            <w:tcW w:type="dxa" w:w="1584"/>
          </w:tcPr>
          <w:p>
            <w:r>
              <w:rPr>
                <w:sz w:val="18"/>
              </w:rPr>
              <w:t>ISO 27001</w:t>
            </w:r>
          </w:p>
        </w:tc>
        <w:tc>
          <w:tcPr>
            <w:tcW w:type="dxa" w:w="2160"/>
          </w:tcPr>
          <w:p>
            <w:r>
              <w:rPr>
                <w:sz w:val="18"/>
              </w:rPr>
              <w:t>A.5.19, A.8.28</w:t>
            </w:r>
          </w:p>
        </w:tc>
        <w:tc>
          <w:tcPr>
            <w:tcW w:type="dxa" w:w="4320"/>
          </w:tcPr>
          <w:p>
            <w:r>
              <w:rPr>
                <w:sz w:val="18"/>
              </w:rPr>
              <w:t>Supplier relationships; secure coding for AI integration.</w:t>
            </w:r>
          </w:p>
        </w:tc>
        <w:tc>
          <w:tcPr>
            <w:tcW w:type="dxa" w:w="1152"/>
          </w:tcPr>
          <w:p>
            <w:r>
              <w:rPr>
                <w:sz w:val="18"/>
              </w:rPr>
              <w:t>Met</w:t>
            </w:r>
          </w:p>
        </w:tc>
      </w:tr>
      <w:tr>
        <w:tc>
          <w:tcPr>
            <w:tcW w:type="dxa" w:w="1584"/>
          </w:tcPr>
          <w:p>
            <w:r>
              <w:rPr>
                <w:sz w:val="18"/>
              </w:rPr>
              <w:t>ISO 42001</w:t>
            </w:r>
          </w:p>
        </w:tc>
        <w:tc>
          <w:tcPr>
            <w:tcW w:type="dxa" w:w="2160"/>
          </w:tcPr>
          <w:p>
            <w:r>
              <w:rPr>
                <w:sz w:val="18"/>
              </w:rPr>
              <w:t>Clause 6, 8</w:t>
            </w:r>
          </w:p>
        </w:tc>
        <w:tc>
          <w:tcPr>
            <w:tcW w:type="dxa" w:w="4320"/>
          </w:tcPr>
          <w:p>
            <w:r>
              <w:rPr>
                <w:sz w:val="18"/>
              </w:rPr>
              <w:t>AI management system planning and operation.</w:t>
            </w:r>
          </w:p>
        </w:tc>
        <w:tc>
          <w:tcPr>
            <w:tcW w:type="dxa" w:w="1152"/>
          </w:tcPr>
          <w:p>
            <w:r>
              <w:rPr>
                <w:sz w:val="18"/>
              </w:rPr>
              <w:t>Partial</w:t>
            </w:r>
          </w:p>
        </w:tc>
      </w:tr>
    </w:tbl>
    <w:p/>
    <w:p>
      <w:pPr>
        <w:pStyle w:val="Heading2"/>
      </w:pPr>
      <w:r>
        <w:t>Related documents</w:t>
      </w:r>
    </w:p>
    <w:tbl>
      <w:tblPr>
        <w:tblStyle w:val="TableGrid"/>
        <w:tblW w:type="auto" w:w="0"/>
        <w:tblLook w:firstColumn="1" w:firstRow="1" w:lastColumn="0" w:lastRow="0" w:noHBand="0" w:noVBand="1" w:val="04A0"/>
      </w:tblPr>
      <w:tblGrid>
        <w:gridCol w:w="3120"/>
        <w:gridCol w:w="3120"/>
        <w:gridCol w:w="3120"/>
      </w:tblGrid>
      <w:tr>
        <w:tc>
          <w:tcPr>
            <w:tcW w:type="dxa" w:w="1872"/>
            <w:shd w:val="clear" w:fill="0F2B4C"/>
          </w:tcPr>
          <w:p>
            <w:r>
              <w:rPr>
                <w:b/>
                <w:color w:val="FFFFFF"/>
                <w:sz w:val="18"/>
              </w:rPr>
              <w:t>Document ID</w:t>
            </w:r>
          </w:p>
        </w:tc>
        <w:tc>
          <w:tcPr>
            <w:tcW w:type="dxa" w:w="4176"/>
            <w:shd w:val="clear" w:fill="0F2B4C"/>
          </w:tcPr>
          <w:p>
            <w:r>
              <w:rPr>
                <w:b/>
                <w:color w:val="FFFFFF"/>
                <w:sz w:val="18"/>
              </w:rPr>
              <w:t>Title</w:t>
            </w:r>
          </w:p>
        </w:tc>
        <w:tc>
          <w:tcPr>
            <w:tcW w:type="dxa" w:w="3168"/>
            <w:shd w:val="clear" w:fill="0F2B4C"/>
          </w:tcPr>
          <w:p>
            <w:r>
              <w:rPr>
                <w:b/>
                <w:color w:val="FFFFFF"/>
                <w:sz w:val="18"/>
              </w:rPr>
              <w:t>Relationship</w:t>
            </w:r>
          </w:p>
        </w:tc>
      </w:tr>
      <w:tr>
        <w:tc>
          <w:tcPr>
            <w:tcW w:type="dxa" w:w="1872"/>
          </w:tcPr>
          <w:p>
            <w:r>
              <w:rPr>
                <w:sz w:val="18"/>
              </w:rPr>
              <w:t>AGT-VRM-012</w:t>
            </w:r>
          </w:p>
        </w:tc>
        <w:tc>
          <w:tcPr>
            <w:tcW w:type="dxa" w:w="4176"/>
          </w:tcPr>
          <w:p>
            <w:r>
              <w:rPr>
                <w:sz w:val="18"/>
              </w:rPr>
              <w:t>Vendor Risk Management Policy</w:t>
            </w:r>
          </w:p>
        </w:tc>
        <w:tc>
          <w:tcPr>
            <w:tcW w:type="dxa" w:w="3168"/>
          </w:tcPr>
          <w:p>
            <w:r>
              <w:rPr>
                <w:sz w:val="18"/>
              </w:rPr>
              <w:t>Vendor assessment and BAA status</w:t>
            </w:r>
          </w:p>
        </w:tc>
      </w:tr>
      <w:tr>
        <w:tc>
          <w:tcPr>
            <w:tcW w:type="dxa" w:w="1872"/>
          </w:tcPr>
          <w:p>
            <w:r>
              <w:rPr>
                <w:sz w:val="18"/>
              </w:rPr>
              <w:t>AGT-DCP-006</w:t>
            </w:r>
          </w:p>
        </w:tc>
        <w:tc>
          <w:tcPr>
            <w:tcW w:type="dxa" w:w="4176"/>
          </w:tcPr>
          <w:p>
            <w:r>
              <w:rPr>
                <w:sz w:val="18"/>
              </w:rPr>
              <w:t>Data Classification Policy</w:t>
            </w:r>
          </w:p>
        </w:tc>
        <w:tc>
          <w:tcPr>
            <w:tcW w:type="dxa" w:w="3168"/>
          </w:tcPr>
          <w:p>
            <w:r>
              <w:rPr>
                <w:sz w:val="18"/>
              </w:rPr>
              <w:t>Defines what may be sent to a provider</w:t>
            </w:r>
          </w:p>
        </w:tc>
      </w:tr>
      <w:tr>
        <w:tc>
          <w:tcPr>
            <w:tcW w:type="dxa" w:w="1872"/>
          </w:tcPr>
          <w:p>
            <w:r>
              <w:rPr>
                <w:sz w:val="18"/>
              </w:rPr>
              <w:t>AGT-CKM-009</w:t>
            </w:r>
          </w:p>
        </w:tc>
        <w:tc>
          <w:tcPr>
            <w:tcW w:type="dxa" w:w="4176"/>
          </w:tcPr>
          <w:p>
            <w:r>
              <w:rPr>
                <w:sz w:val="18"/>
              </w:rPr>
              <w:t>Cryptographic Key Management Policy</w:t>
            </w:r>
          </w:p>
        </w:tc>
        <w:tc>
          <w:tcPr>
            <w:tcW w:type="dxa" w:w="3168"/>
          </w:tcPr>
          <w:p>
            <w:r>
              <w:rPr>
                <w:sz w:val="18"/>
              </w:rPr>
              <w:t>Provider API key custody</w:t>
            </w:r>
          </w:p>
        </w:tc>
      </w:tr>
      <w:tr>
        <w:tc>
          <w:tcPr>
            <w:tcW w:type="dxa" w:w="1872"/>
          </w:tcPr>
          <w:p>
            <w:r>
              <w:rPr>
                <w:sz w:val="18"/>
              </w:rPr>
              <w:t>AGT-PPF-014</w:t>
            </w:r>
          </w:p>
        </w:tc>
        <w:tc>
          <w:tcPr>
            <w:tcW w:type="dxa" w:w="4176"/>
          </w:tcPr>
          <w:p>
            <w:r>
              <w:rPr>
                <w:sz w:val="18"/>
              </w:rPr>
              <w:t>Privacy Policy Framework</w:t>
            </w:r>
          </w:p>
        </w:tc>
        <w:tc>
          <w:tcPr>
            <w:tcW w:type="dxa" w:w="3168"/>
          </w:tcPr>
          <w:p>
            <w:r>
              <w:rPr>
                <w:sz w:val="18"/>
              </w:rPr>
              <w:t>Privacy assessment of AI processing</w:t>
            </w:r>
          </w:p>
        </w:tc>
      </w:tr>
      <w:tr>
        <w:tc>
          <w:tcPr>
            <w:tcW w:type="dxa" w:w="1872"/>
          </w:tcPr>
          <w:p>
            <w:r>
              <w:rPr>
                <w:sz w:val="18"/>
              </w:rPr>
              <w:t>AGT-RMP-023</w:t>
            </w:r>
          </w:p>
        </w:tc>
        <w:tc>
          <w:tcPr>
            <w:tcW w:type="dxa" w:w="4176"/>
          </w:tcPr>
          <w:p>
            <w:r>
              <w:rPr>
                <w:sz w:val="18"/>
              </w:rPr>
              <w:t>Risk Management Plan</w:t>
            </w:r>
          </w:p>
        </w:tc>
        <w:tc>
          <w:tcPr>
            <w:tcW w:type="dxa" w:w="3168"/>
          </w:tcPr>
          <w:p>
            <w:r>
              <w:rPr>
                <w:sz w:val="18"/>
              </w:rPr>
              <w:t>AI risks feed the enterprise register</w:t>
            </w:r>
          </w:p>
        </w:tc>
      </w:tr>
    </w:tbl>
    <w:p/>
    <w:p>
      <w:r>
        <w:br w:type="page"/>
      </w:r>
    </w:p>
    <w:p>
      <w:pPr>
        <w:pStyle w:val="Heading1"/>
      </w:pPr>
      <w:r>
        <w:t>Version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1152"/>
            <w:shd w:val="clear" w:fill="0F2B4C"/>
          </w:tcPr>
          <w:p>
            <w:r>
              <w:rPr>
                <w:b/>
                <w:color w:val="FFFFFF"/>
                <w:sz w:val="18"/>
              </w:rPr>
              <w:t>Version</w:t>
            </w:r>
          </w:p>
        </w:tc>
        <w:tc>
          <w:tcPr>
            <w:tcW w:type="dxa" w:w="1584"/>
            <w:shd w:val="clear" w:fill="0F2B4C"/>
          </w:tcPr>
          <w:p>
            <w:r>
              <w:rPr>
                <w:b/>
                <w:color w:val="FFFFFF"/>
                <w:sz w:val="18"/>
              </w:rPr>
              <w:t>Date</w:t>
            </w:r>
          </w:p>
        </w:tc>
        <w:tc>
          <w:tcPr>
            <w:tcW w:type="dxa" w:w="2016"/>
            <w:shd w:val="clear" w:fill="0F2B4C"/>
          </w:tcPr>
          <w:p>
            <w:r>
              <w:rPr>
                <w:b/>
                <w:color w:val="FFFFFF"/>
                <w:sz w:val="18"/>
              </w:rPr>
              <w:t>Author</w:t>
            </w:r>
          </w:p>
        </w:tc>
        <w:tc>
          <w:tcPr>
            <w:tcW w:type="dxa" w:w="4176"/>
            <w:shd w:val="clear" w:fill="0F2B4C"/>
          </w:tcPr>
          <w:p>
            <w:r>
              <w:rPr>
                <w:b/>
                <w:color w:val="FFFFFF"/>
                <w:sz w:val="18"/>
              </w:rPr>
              <w:t>Summary of change</w:t>
            </w:r>
          </w:p>
        </w:tc>
      </w:tr>
      <w:tr>
        <w:tc>
          <w:tcPr>
            <w:tcW w:type="dxa" w:w="1152"/>
          </w:tcPr>
          <w:p>
            <w:r>
              <w:rPr>
                <w:sz w:val="18"/>
              </w:rPr>
              <w:t>1.0</w:t>
            </w:r>
          </w:p>
        </w:tc>
        <w:tc>
          <w:tcPr>
            <w:tcW w:type="dxa" w:w="1584"/>
          </w:tcPr>
          <w:p>
            <w:r>
              <w:rPr>
                <w:sz w:val="18"/>
              </w:rPr>
              <w:t>2026-07-28</w:t>
            </w:r>
          </w:p>
        </w:tc>
        <w:tc>
          <w:tcPr>
            <w:tcW w:type="dxa" w:w="2016"/>
          </w:tcPr>
          <w:p>
            <w:r>
              <w:rPr>
                <w:sz w:val="18"/>
              </w:rPr>
              <w:t>Imran Siddiqui</w:t>
            </w:r>
          </w:p>
        </w:tc>
        <w:tc>
          <w:tcPr>
            <w:tcW w:type="dxa" w:w="4176"/>
          </w:tcPr>
          <w:p>
            <w:r>
              <w:rPr>
                <w:sz w:val="18"/>
              </w:rPr>
              <w:t>Initial issue.</w:t>
            </w:r>
          </w:p>
        </w:tc>
      </w:tr>
    </w:tbl>
    <w:p/>
    <w:p>
      <w:pPr>
        <w:pStyle w:val="Heading1"/>
      </w:pPr>
      <w:r>
        <w:t>Approval</w:t>
      </w:r>
    </w:p>
    <w:p>
      <w:r>
        <w:t>This document is approved for use and is binding on all personnel and contractors with access to the systems in scope.</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fill="0F2B4C"/>
          </w:tcPr>
          <w:p>
            <w:r>
              <w:rPr>
                <w:b/>
                <w:color w:val="FFFFFF"/>
                <w:sz w:val="18"/>
              </w:rPr>
              <w:t>Role</w:t>
            </w:r>
          </w:p>
        </w:tc>
        <w:tc>
          <w:tcPr>
            <w:tcW w:type="dxa" w:w="2304"/>
            <w:shd w:val="clear" w:fill="0F2B4C"/>
          </w:tcPr>
          <w:p>
            <w:r>
              <w:rPr>
                <w:b/>
                <w:color w:val="FFFFFF"/>
                <w:sz w:val="18"/>
              </w:rPr>
              <w:t>Name</w:t>
            </w:r>
          </w:p>
        </w:tc>
        <w:tc>
          <w:tcPr>
            <w:tcW w:type="dxa" w:w="2304"/>
            <w:shd w:val="clear" w:fill="0F2B4C"/>
          </w:tcPr>
          <w:p>
            <w:r>
              <w:rPr>
                <w:b/>
                <w:color w:val="FFFFFF"/>
                <w:sz w:val="18"/>
              </w:rPr>
              <w:t>Signature</w:t>
            </w:r>
          </w:p>
        </w:tc>
        <w:tc>
          <w:tcPr>
            <w:tcW w:type="dxa" w:w="1728"/>
            <w:shd w:val="clear" w:fill="0F2B4C"/>
          </w:tcPr>
          <w:p>
            <w:r>
              <w:rPr>
                <w:b/>
                <w:color w:val="FFFFFF"/>
                <w:sz w:val="18"/>
              </w:rPr>
              <w:t>Date</w:t>
            </w:r>
          </w:p>
        </w:tc>
      </w:tr>
      <w:tr>
        <w:tc>
          <w:tcPr>
            <w:tcW w:type="dxa" w:w="2592"/>
          </w:tcPr>
          <w:p>
            <w:r>
              <w:rPr>
                <w:sz w:val="18"/>
              </w:rPr>
              <w:t>Chief Executive Officer</w:t>
            </w:r>
          </w:p>
        </w:tc>
        <w:tc>
          <w:tcPr>
            <w:tcW w:type="dxa" w:w="2304"/>
          </w:tcPr>
          <w:p>
            <w:r>
              <w:rPr>
                <w:sz w:val="18"/>
              </w:rPr>
              <w:t>Imran Siddiqui</w:t>
            </w:r>
          </w:p>
        </w:tc>
        <w:tc>
          <w:tcPr>
            <w:tcW w:type="dxa" w:w="2304"/>
          </w:tcPr>
          <w:p>
            <w:r>
              <w:rPr>
                <w:sz w:val="18"/>
              </w:rPr>
            </w:r>
          </w:p>
        </w:tc>
        <w:tc>
          <w:tcPr>
            <w:tcW w:type="dxa" w:w="1728"/>
          </w:tcPr>
          <w:p>
            <w:r>
              <w:rPr>
                <w:sz w:val="18"/>
              </w:rPr>
            </w:r>
          </w:p>
        </w:tc>
      </w:tr>
      <w:tr>
        <w:tc>
          <w:tcPr>
            <w:tcW w:type="dxa" w:w="2592"/>
          </w:tcPr>
          <w:p>
            <w:r>
              <w:rPr>
                <w:sz w:val="18"/>
              </w:rPr>
              <w:t>Security Officer</w:t>
            </w:r>
          </w:p>
        </w:tc>
        <w:tc>
          <w:tcPr>
            <w:tcW w:type="dxa" w:w="2304"/>
          </w:tcPr>
          <w:p>
            <w:r>
              <w:rPr>
                <w:sz w:val="18"/>
              </w:rPr>
            </w:r>
          </w:p>
        </w:tc>
        <w:tc>
          <w:tcPr>
            <w:tcW w:type="dxa" w:w="2304"/>
          </w:tcPr>
          <w:p>
            <w:r>
              <w:rPr>
                <w:sz w:val="18"/>
              </w:rPr>
            </w:r>
          </w:p>
        </w:tc>
        <w:tc>
          <w:tcPr>
            <w:tcW w:type="dxa" w:w="1728"/>
          </w:tcPr>
          <w:p>
            <w:r>
              <w:rPr>
                <w:sz w:val="18"/>
              </w:rPr>
            </w:r>
          </w:p>
        </w:tc>
      </w:tr>
      <w:tr>
        <w:tc>
          <w:tcPr>
            <w:tcW w:type="dxa" w:w="2592"/>
          </w:tcPr>
          <w:p>
            <w:r>
              <w:rPr>
                <w:sz w:val="18"/>
              </w:rPr>
              <w:t>Privacy Officer</w:t>
            </w:r>
          </w:p>
        </w:tc>
        <w:tc>
          <w:tcPr>
            <w:tcW w:type="dxa" w:w="2304"/>
          </w:tcPr>
          <w:p>
            <w:r>
              <w:rPr>
                <w:sz w:val="18"/>
              </w:rPr>
            </w:r>
          </w:p>
        </w:tc>
        <w:tc>
          <w:tcPr>
            <w:tcW w:type="dxa" w:w="2304"/>
          </w:tcPr>
          <w:p>
            <w:r>
              <w:rPr>
                <w:sz w:val="18"/>
              </w:rPr>
            </w:r>
          </w:p>
        </w:tc>
        <w:tc>
          <w:tcPr>
            <w:tcW w:type="dxa" w:w="1728"/>
          </w:tcPr>
          <w:p>
            <w:r>
              <w:rPr>
                <w:sz w:val="18"/>
              </w:rPr>
            </w:r>
          </w:p>
        </w:tc>
      </w:tr>
    </w:tbl>
    <w:p/>
    <w:p>
      <w:r>
        <w:rPr>
          <w:i/>
          <w:color w:val="5A5A5A"/>
          <w:sz w:val="19"/>
        </w:rPr>
        <w:t>Approval is recorded in the document management system; a wet signature is not required where an auditable electronic approval exists.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AGT-AIGOV-013 v1.0  |  AGT Internal  |  Uncontrolled when printed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B4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B4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6C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