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B4C"/>
          <w:sz w:val="88"/>
        </w:rPr>
        <w:t>AGT</w:t>
      </w:r>
    </w:p>
    <w:p>
      <w:pPr>
        <w:jc w:val="center"/>
      </w:pPr>
      <w:r>
        <w:rPr>
          <w:color w:val="5A5A5A"/>
          <w:sz w:val="26"/>
        </w:rPr>
        <w:t>Alliance Global Tech Inc.</w:t>
      </w:r>
    </w:p>
    <w:p/>
    <w:p>
      <w:pPr>
        <w:jc w:val="center"/>
      </w:pPr>
      <w:r>
        <w:rPr>
          <w:b/>
          <w:color w:val="0F2B4C"/>
          <w:sz w:val="48"/>
        </w:rPr>
        <w:t>Backup Policy</w:t>
      </w:r>
    </w:p>
    <w:p>
      <w:pPr>
        <w:jc w:val="center"/>
      </w:pPr>
      <w:r>
        <w:rPr>
          <w:i/>
          <w:color w:val="0F6CBD"/>
          <w:sz w:val="26"/>
        </w:rPr>
        <w:t>DocuAction TEFCA ARC</w:t>
      </w:r>
    </w:p>
    <w:p/>
    <w:p/>
    <w:p/>
    <w:tbl>
      <w:tblPr>
        <w:tblStyle w:val="TableGrid"/>
        <w:tblW w:type="auto" w:w="0"/>
        <w:jc w:val="center"/>
        <w:tblLook w:firstColumn="1" w:firstRow="1" w:lastColumn="0" w:lastRow="0" w:noHBand="0" w:noVBand="1" w:val="04A0"/>
      </w:tblPr>
      <w:tblGrid>
        <w:gridCol w:w="4680"/>
        <w:gridCol w:w="4680"/>
      </w:tblGrid>
      <w:tr>
        <w:tc>
          <w:tcPr>
            <w:tcW w:type="dxa" w:w="2736"/>
            <w:shd w:val="clear" w:fill="EEF3F8"/>
          </w:tcPr>
          <w:p>
            <w:r>
              <w:rPr>
                <w:b/>
                <w:sz w:val="20"/>
              </w:rPr>
              <w:t>Document ID</w:t>
            </w:r>
          </w:p>
        </w:tc>
        <w:tc>
          <w:tcPr>
            <w:tcW w:type="dxa" w:w="5184"/>
          </w:tcPr>
          <w:p>
            <w:r>
              <w:rPr>
                <w:sz w:val="20"/>
              </w:rPr>
              <w:t>AGT-BKP-019</w:t>
            </w:r>
          </w:p>
        </w:tc>
      </w:tr>
      <w:tr>
        <w:tc>
          <w:tcPr>
            <w:tcW w:type="dxa" w:w="2736"/>
            <w:shd w:val="clear" w:fill="EEF3F8"/>
          </w:tcPr>
          <w:p>
            <w:r>
              <w:rPr>
                <w:b/>
                <w:sz w:val="20"/>
              </w:rPr>
              <w:t>Version</w:t>
            </w:r>
          </w:p>
        </w:tc>
        <w:tc>
          <w:tcPr>
            <w:tcW w:type="dxa" w:w="5184"/>
          </w:tcPr>
          <w:p>
            <w:r>
              <w:rPr>
                <w:sz w:val="20"/>
              </w:rPr>
              <w:t>1.0</w:t>
            </w:r>
          </w:p>
        </w:tc>
      </w:tr>
      <w:tr>
        <w:tc>
          <w:tcPr>
            <w:tcW w:type="dxa" w:w="2736"/>
            <w:shd w:val="clear" w:fill="EEF3F8"/>
          </w:tcPr>
          <w:p>
            <w:r>
              <w:rPr>
                <w:b/>
                <w:sz w:val="20"/>
              </w:rPr>
              <w:t>Effective date</w:t>
            </w:r>
          </w:p>
        </w:tc>
        <w:tc>
          <w:tcPr>
            <w:tcW w:type="dxa" w:w="5184"/>
          </w:tcPr>
          <w:p>
            <w:r>
              <w:rPr>
                <w:sz w:val="20"/>
              </w:rPr>
              <w:t>2026-07-28</w:t>
            </w:r>
          </w:p>
        </w:tc>
      </w:tr>
      <w:tr>
        <w:tc>
          <w:tcPr>
            <w:tcW w:type="dxa" w:w="2736"/>
            <w:shd w:val="clear" w:fill="EEF3F8"/>
          </w:tcPr>
          <w:p>
            <w:r>
              <w:rPr>
                <w:b/>
                <w:sz w:val="20"/>
              </w:rPr>
              <w:t>Classification</w:t>
            </w:r>
          </w:p>
        </w:tc>
        <w:tc>
          <w:tcPr>
            <w:tcW w:type="dxa" w:w="5184"/>
          </w:tcPr>
          <w:p>
            <w:r>
              <w:rPr>
                <w:sz w:val="20"/>
              </w:rPr>
              <w:t>Internal</w:t>
            </w:r>
          </w:p>
        </w:tc>
      </w:tr>
      <w:tr>
        <w:tc>
          <w:tcPr>
            <w:tcW w:type="dxa" w:w="2736"/>
            <w:shd w:val="clear" w:fill="EEF3F8"/>
          </w:tcPr>
          <w:p>
            <w:r>
              <w:rPr>
                <w:b/>
                <w:sz w:val="20"/>
              </w:rPr>
              <w:t>Owner</w:t>
            </w:r>
          </w:p>
        </w:tc>
        <w:tc>
          <w:tcPr>
            <w:tcW w:type="dxa" w:w="5184"/>
          </w:tcPr>
          <w:p>
            <w:r>
              <w:rPr>
                <w:sz w:val="20"/>
              </w:rPr>
              <w:t>Chief Executive Officer, AGT</w:t>
            </w:r>
          </w:p>
        </w:tc>
      </w:tr>
      <w:tr>
        <w:tc>
          <w:tcPr>
            <w:tcW w:type="dxa" w:w="2736"/>
            <w:shd w:val="clear" w:fill="EEF3F8"/>
          </w:tcPr>
          <w:p>
            <w:r>
              <w:rPr>
                <w:b/>
                <w:sz w:val="20"/>
              </w:rPr>
              <w:t>Approved by</w:t>
            </w:r>
          </w:p>
        </w:tc>
        <w:tc>
          <w:tcPr>
            <w:tcW w:type="dxa" w:w="5184"/>
          </w:tcPr>
          <w:p>
            <w:r>
              <w:rPr>
                <w:sz w:val="20"/>
              </w:rPr>
              <w:t>Imran Siddiqui</w:t>
            </w:r>
          </w:p>
        </w:tc>
      </w:tr>
      <w:tr>
        <w:tc>
          <w:tcPr>
            <w:tcW w:type="dxa" w:w="2736"/>
            <w:shd w:val="clear" w:fill="EEF3F8"/>
          </w:tcPr>
          <w:p>
            <w:r>
              <w:rPr>
                <w:b/>
                <w:sz w:val="20"/>
              </w:rPr>
              <w:t>Review cycle</w:t>
            </w:r>
          </w:p>
        </w:tc>
        <w:tc>
          <w:tcPr>
            <w:tcW w:type="dxa" w:w="5184"/>
          </w:tcPr>
          <w:p>
            <w:r>
              <w:rPr>
                <w:sz w:val="20"/>
              </w:rPr>
              <w:t>Annual, or on material change</w:t>
            </w:r>
          </w:p>
        </w:tc>
      </w:tr>
    </w:tbl>
    <w:p>
      <w:r>
        <w:br w:type="page"/>
      </w:r>
    </w:p>
    <w:p>
      <w:pPr>
        <w:pStyle w:val="Heading1"/>
      </w:pPr>
      <w:r>
        <w:t>1. Purpose</w:t>
      </w:r>
    </w:p>
    <w:p>
      <w:r>
        <w:t>This policy defines what AGT backs up, how often, where it is stored, how long it is kept, and - most importantly - how restoration is proven to work. A backup that has never been restored is a hypothesis, not a control.</w:t>
      </w:r>
    </w:p>
    <w:p>
      <w:pPr>
        <w:pStyle w:val="Heading1"/>
      </w:pPr>
      <w:r>
        <w:t>2. Scope</w:t>
      </w:r>
    </w:p>
    <w:p>
      <w:r>
        <w:t>This policy applies to all Alliance Global Tech Inc. (AGT) personnel, contractors, and third parties who access, operate, or support the DocuAction TEFCA ARC platform or its supporting Azure infrastructure. It covers production, development, and any environment holding customer data, protected health information (PHI), or controlled unclassified information (CUI).</w:t>
      </w:r>
    </w:p>
    <w:p>
      <w:pPr>
        <w:pStyle w:val="Heading2"/>
      </w:pPr>
      <w:r>
        <w:t>System context</w:t>
      </w:r>
    </w:p>
    <w:p>
      <w:r>
        <w:t>This document applies to DocuAction TEFCA ARC, operated by Alliance Global Tech Inc. on Microsoft Azure. The control descriptions in this document are written against the following implementation, not against a generic reference architecture.</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Layer</w:t>
            </w:r>
          </w:p>
        </w:tc>
        <w:tc>
          <w:tcPr>
            <w:tcW w:type="dxa" w:w="6336"/>
            <w:shd w:val="clear" w:fill="0F2B4C"/>
          </w:tcPr>
          <w:p>
            <w:r>
              <w:rPr>
                <w:b/>
                <w:color w:val="FFFFFF"/>
                <w:sz w:val="18"/>
              </w:rPr>
              <w:t>Implementation</w:t>
            </w:r>
          </w:p>
        </w:tc>
      </w:tr>
      <w:tr>
        <w:tc>
          <w:tcPr>
            <w:tcW w:type="dxa" w:w="2592"/>
          </w:tcPr>
          <w:p>
            <w:r>
              <w:rPr>
                <w:sz w:val="18"/>
              </w:rPr>
              <w:t>Frontend</w:t>
            </w:r>
          </w:p>
        </w:tc>
        <w:tc>
          <w:tcPr>
            <w:tcW w:type="dxa" w:w="6336"/>
          </w:tcPr>
          <w:p>
            <w:r>
              <w:rPr>
                <w:sz w:val="18"/>
              </w:rPr>
              <w:t>Next.js 14 (React), static export, Azure Static Web Apps</w:t>
            </w:r>
          </w:p>
        </w:tc>
      </w:tr>
      <w:tr>
        <w:tc>
          <w:tcPr>
            <w:tcW w:type="dxa" w:w="2592"/>
          </w:tcPr>
          <w:p>
            <w:r>
              <w:rPr>
                <w:sz w:val="18"/>
              </w:rPr>
              <w:t>Backend</w:t>
            </w:r>
          </w:p>
        </w:tc>
        <w:tc>
          <w:tcPr>
            <w:tcW w:type="dxa" w:w="6336"/>
          </w:tcPr>
          <w:p>
            <w:r>
              <w:rPr>
                <w:sz w:val="18"/>
              </w:rPr>
              <w:t>FastAPI on Python 3.12, Azure App Service (Linux)</w:t>
            </w:r>
          </w:p>
        </w:tc>
      </w:tr>
      <w:tr>
        <w:tc>
          <w:tcPr>
            <w:tcW w:type="dxa" w:w="2592"/>
          </w:tcPr>
          <w:p>
            <w:r>
              <w:rPr>
                <w:sz w:val="18"/>
              </w:rPr>
              <w:t>Database</w:t>
            </w:r>
          </w:p>
        </w:tc>
        <w:tc>
          <w:tcPr>
            <w:tcW w:type="dxa" w:w="6336"/>
          </w:tcPr>
          <w:p>
            <w:r>
              <w:rPr>
                <w:sz w:val="18"/>
              </w:rPr>
              <w:t>Azure Database for PostgreSQL - Flexible Server, geo-redundant</w:t>
            </w:r>
          </w:p>
        </w:tc>
      </w:tr>
      <w:tr>
        <w:tc>
          <w:tcPr>
            <w:tcW w:type="dxa" w:w="2592"/>
          </w:tcPr>
          <w:p>
            <w:r>
              <w:rPr>
                <w:sz w:val="18"/>
              </w:rPr>
              <w:t>Identity</w:t>
            </w:r>
          </w:p>
        </w:tc>
        <w:tc>
          <w:tcPr>
            <w:tcW w:type="dxa" w:w="6336"/>
          </w:tcPr>
          <w:p>
            <w:r>
              <w:rPr>
                <w:sz w:val="18"/>
              </w:rPr>
              <w:t>Microsoft Entra ID; OAuth 2.0, OIDC, JWT bearer, RBAC, MFA</w:t>
            </w:r>
          </w:p>
        </w:tc>
      </w:tr>
      <w:tr>
        <w:tc>
          <w:tcPr>
            <w:tcW w:type="dxa" w:w="2592"/>
          </w:tcPr>
          <w:p>
            <w:r>
              <w:rPr>
                <w:sz w:val="18"/>
              </w:rPr>
              <w:t>Secrets</w:t>
            </w:r>
          </w:p>
        </w:tc>
        <w:tc>
          <w:tcPr>
            <w:tcW w:type="dxa" w:w="6336"/>
          </w:tcPr>
          <w:p>
            <w:r>
              <w:rPr>
                <w:sz w:val="18"/>
              </w:rPr>
              <w:t>Azure Key Vault, resolved at runtime by system-assigned managed identity</w:t>
            </w:r>
          </w:p>
        </w:tc>
      </w:tr>
      <w:tr>
        <w:tc>
          <w:tcPr>
            <w:tcW w:type="dxa" w:w="2592"/>
          </w:tcPr>
          <w:p>
            <w:r>
              <w:rPr>
                <w:sz w:val="18"/>
              </w:rPr>
              <w:t>Monitoring</w:t>
            </w:r>
          </w:p>
        </w:tc>
        <w:tc>
          <w:tcPr>
            <w:tcW w:type="dxa" w:w="6336"/>
          </w:tcPr>
          <w:p>
            <w:r>
              <w:rPr>
                <w:sz w:val="18"/>
              </w:rPr>
              <w:t>Azure Monitor and Application Insights</w:t>
            </w:r>
          </w:p>
        </w:tc>
      </w:tr>
      <w:tr>
        <w:tc>
          <w:tcPr>
            <w:tcW w:type="dxa" w:w="2592"/>
          </w:tcPr>
          <w:p>
            <w:r>
              <w:rPr>
                <w:sz w:val="18"/>
              </w:rPr>
              <w:t>Healthcare standards</w:t>
            </w:r>
          </w:p>
        </w:tc>
        <w:tc>
          <w:tcPr>
            <w:tcW w:type="dxa" w:w="6336"/>
          </w:tcPr>
          <w:p>
            <w:r>
              <w:rPr>
                <w:sz w:val="18"/>
              </w:rPr>
              <w:t>FHIR R4, HL7, TEFCA Common Agreement / RCE IG v1.14.0</w:t>
            </w:r>
          </w:p>
        </w:tc>
      </w:tr>
      <w:tr>
        <w:tc>
          <w:tcPr>
            <w:tcW w:type="dxa" w:w="2592"/>
          </w:tcPr>
          <w:p>
            <w:r>
              <w:rPr>
                <w:sz w:val="18"/>
              </w:rPr>
              <w:t>Certifications</w:t>
            </w:r>
          </w:p>
        </w:tc>
        <w:tc>
          <w:tcPr>
            <w:tcW w:type="dxa" w:w="6336"/>
          </w:tcPr>
          <w:p>
            <w:r>
              <w:rPr>
                <w:sz w:val="18"/>
              </w:rPr>
              <w:t>CMMI Level 3, ISO 27001, ISO 9001, ISO 20000-1, DoD Final Contractor</w:t>
            </w:r>
          </w:p>
        </w:tc>
      </w:tr>
    </w:tbl>
    <w:p/>
    <w:p>
      <w:pPr>
        <w:pStyle w:val="Heading1"/>
      </w:pPr>
      <w:r>
        <w:t>3. Backup scope and schedule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016"/>
            <w:shd w:val="clear" w:fill="0F2B4C"/>
          </w:tcPr>
          <w:p>
            <w:r>
              <w:rPr>
                <w:b/>
                <w:color w:val="FFFFFF"/>
                <w:sz w:val="18"/>
              </w:rPr>
              <w:t>Asset</w:t>
            </w:r>
          </w:p>
        </w:tc>
        <w:tc>
          <w:tcPr>
            <w:tcW w:type="dxa" w:w="2448"/>
            <w:shd w:val="clear" w:fill="0F2B4C"/>
          </w:tcPr>
          <w:p>
            <w:r>
              <w:rPr>
                <w:b/>
                <w:color w:val="FFFFFF"/>
                <w:sz w:val="18"/>
              </w:rPr>
              <w:t>Method</w:t>
            </w:r>
          </w:p>
        </w:tc>
        <w:tc>
          <w:tcPr>
            <w:tcW w:type="dxa" w:w="1440"/>
            <w:shd w:val="clear" w:fill="0F2B4C"/>
          </w:tcPr>
          <w:p>
            <w:r>
              <w:rPr>
                <w:b/>
                <w:color w:val="FFFFFF"/>
                <w:sz w:val="18"/>
              </w:rPr>
              <w:t>Frequency</w:t>
            </w:r>
          </w:p>
        </w:tc>
        <w:tc>
          <w:tcPr>
            <w:tcW w:type="dxa" w:w="1296"/>
            <w:shd w:val="clear" w:fill="0F2B4C"/>
          </w:tcPr>
          <w:p>
            <w:r>
              <w:rPr>
                <w:b/>
                <w:color w:val="FFFFFF"/>
                <w:sz w:val="18"/>
              </w:rPr>
              <w:t>Retention</w:t>
            </w:r>
          </w:p>
        </w:tc>
        <w:tc>
          <w:tcPr>
            <w:tcW w:type="dxa" w:w="1728"/>
            <w:shd w:val="clear" w:fill="0F2B4C"/>
          </w:tcPr>
          <w:p>
            <w:r>
              <w:rPr>
                <w:b/>
                <w:color w:val="FFFFFF"/>
                <w:sz w:val="18"/>
              </w:rPr>
              <w:t>Location</w:t>
            </w:r>
          </w:p>
        </w:tc>
      </w:tr>
      <w:tr>
        <w:tc>
          <w:tcPr>
            <w:tcW w:type="dxa" w:w="2016"/>
          </w:tcPr>
          <w:p>
            <w:r>
              <w:rPr>
                <w:sz w:val="18"/>
              </w:rPr>
              <w:t>Azure PostgreSQL (prod)</w:t>
            </w:r>
          </w:p>
        </w:tc>
        <w:tc>
          <w:tcPr>
            <w:tcW w:type="dxa" w:w="2448"/>
          </w:tcPr>
          <w:p>
            <w:r>
              <w:rPr>
                <w:sz w:val="18"/>
              </w:rPr>
              <w:t>Automated platform backup with point-in-time restore</w:t>
            </w:r>
          </w:p>
        </w:tc>
        <w:tc>
          <w:tcPr>
            <w:tcW w:type="dxa" w:w="1440"/>
          </w:tcPr>
          <w:p>
            <w:r>
              <w:rPr>
                <w:sz w:val="18"/>
              </w:rPr>
              <w:t>Continuous</w:t>
            </w:r>
          </w:p>
        </w:tc>
        <w:tc>
          <w:tcPr>
            <w:tcW w:type="dxa" w:w="1296"/>
          </w:tcPr>
          <w:p>
            <w:r>
              <w:rPr>
                <w:sz w:val="18"/>
              </w:rPr>
              <w:t>35 days</w:t>
            </w:r>
          </w:p>
        </w:tc>
        <w:tc>
          <w:tcPr>
            <w:tcW w:type="dxa" w:w="1728"/>
          </w:tcPr>
          <w:p>
            <w:r>
              <w:rPr>
                <w:sz w:val="18"/>
              </w:rPr>
              <w:t>Geo-redundant, paired region</w:t>
            </w:r>
          </w:p>
        </w:tc>
      </w:tr>
      <w:tr>
        <w:tc>
          <w:tcPr>
            <w:tcW w:type="dxa" w:w="2016"/>
          </w:tcPr>
          <w:p>
            <w:r>
              <w:rPr>
                <w:sz w:val="18"/>
              </w:rPr>
              <w:t>Azure PostgreSQL (dev)</w:t>
            </w:r>
          </w:p>
        </w:tc>
        <w:tc>
          <w:tcPr>
            <w:tcW w:type="dxa" w:w="2448"/>
          </w:tcPr>
          <w:p>
            <w:r>
              <w:rPr>
                <w:sz w:val="18"/>
              </w:rPr>
              <w:t>Automated platform backup</w:t>
            </w:r>
          </w:p>
        </w:tc>
        <w:tc>
          <w:tcPr>
            <w:tcW w:type="dxa" w:w="1440"/>
          </w:tcPr>
          <w:p>
            <w:r>
              <w:rPr>
                <w:sz w:val="18"/>
              </w:rPr>
              <w:t>Continuous</w:t>
            </w:r>
          </w:p>
        </w:tc>
        <w:tc>
          <w:tcPr>
            <w:tcW w:type="dxa" w:w="1296"/>
          </w:tcPr>
          <w:p>
            <w:r>
              <w:rPr>
                <w:sz w:val="18"/>
              </w:rPr>
              <w:t>7 days</w:t>
            </w:r>
          </w:p>
        </w:tc>
        <w:tc>
          <w:tcPr>
            <w:tcW w:type="dxa" w:w="1728"/>
          </w:tcPr>
          <w:p>
            <w:r>
              <w:rPr>
                <w:sz w:val="18"/>
              </w:rPr>
              <w:t>Locally redundant</w:t>
            </w:r>
          </w:p>
        </w:tc>
      </w:tr>
      <w:tr>
        <w:tc>
          <w:tcPr>
            <w:tcW w:type="dxa" w:w="2016"/>
          </w:tcPr>
          <w:p>
            <w:r>
              <w:rPr>
                <w:sz w:val="18"/>
              </w:rPr>
              <w:t>Key Vault secrets</w:t>
            </w:r>
          </w:p>
        </w:tc>
        <w:tc>
          <w:tcPr>
            <w:tcW w:type="dxa" w:w="2448"/>
          </w:tcPr>
          <w:p>
            <w:r>
              <w:rPr>
                <w:sz w:val="18"/>
              </w:rPr>
              <w:t>Soft delete with purge protection</w:t>
            </w:r>
          </w:p>
        </w:tc>
        <w:tc>
          <w:tcPr>
            <w:tcW w:type="dxa" w:w="1440"/>
          </w:tcPr>
          <w:p>
            <w:r>
              <w:rPr>
                <w:sz w:val="18"/>
              </w:rPr>
              <w:t>Continuous</w:t>
            </w:r>
          </w:p>
        </w:tc>
        <w:tc>
          <w:tcPr>
            <w:tcW w:type="dxa" w:w="1296"/>
          </w:tcPr>
          <w:p>
            <w:r>
              <w:rPr>
                <w:sz w:val="18"/>
              </w:rPr>
              <w:t>90 days</w:t>
            </w:r>
          </w:p>
        </w:tc>
        <w:tc>
          <w:tcPr>
            <w:tcW w:type="dxa" w:w="1728"/>
          </w:tcPr>
          <w:p>
            <w:r>
              <w:rPr>
                <w:sz w:val="18"/>
              </w:rPr>
              <w:t>Vault region</w:t>
            </w:r>
          </w:p>
        </w:tc>
      </w:tr>
      <w:tr>
        <w:tc>
          <w:tcPr>
            <w:tcW w:type="dxa" w:w="2016"/>
          </w:tcPr>
          <w:p>
            <w:r>
              <w:rPr>
                <w:sz w:val="18"/>
              </w:rPr>
              <w:t>Source code</w:t>
            </w:r>
          </w:p>
        </w:tc>
        <w:tc>
          <w:tcPr>
            <w:tcW w:type="dxa" w:w="2448"/>
          </w:tcPr>
          <w:p>
            <w:r>
              <w:rPr>
                <w:sz w:val="18"/>
              </w:rPr>
              <w:t>Distributed version control with remote</w:t>
            </w:r>
          </w:p>
        </w:tc>
        <w:tc>
          <w:tcPr>
            <w:tcW w:type="dxa" w:w="1440"/>
          </w:tcPr>
          <w:p>
            <w:r>
              <w:rPr>
                <w:sz w:val="18"/>
              </w:rPr>
              <w:t>Every push</w:t>
            </w:r>
          </w:p>
        </w:tc>
        <w:tc>
          <w:tcPr>
            <w:tcW w:type="dxa" w:w="1296"/>
          </w:tcPr>
          <w:p>
            <w:r>
              <w:rPr>
                <w:sz w:val="18"/>
              </w:rPr>
              <w:t>Indefinite</w:t>
            </w:r>
          </w:p>
        </w:tc>
        <w:tc>
          <w:tcPr>
            <w:tcW w:type="dxa" w:w="1728"/>
          </w:tcPr>
          <w:p>
            <w:r>
              <w:rPr>
                <w:sz w:val="18"/>
              </w:rPr>
              <w:t>GitHub</w:t>
            </w:r>
          </w:p>
        </w:tc>
      </w:tr>
      <w:tr>
        <w:tc>
          <w:tcPr>
            <w:tcW w:type="dxa" w:w="2016"/>
          </w:tcPr>
          <w:p>
            <w:r>
              <w:rPr>
                <w:sz w:val="18"/>
              </w:rPr>
              <w:t>Infrastructure definitions</w:t>
            </w:r>
          </w:p>
        </w:tc>
        <w:tc>
          <w:tcPr>
            <w:tcW w:type="dxa" w:w="2448"/>
          </w:tcPr>
          <w:p>
            <w:r>
              <w:rPr>
                <w:sz w:val="18"/>
              </w:rPr>
              <w:t>Version-controlled templates</w:t>
            </w:r>
          </w:p>
        </w:tc>
        <w:tc>
          <w:tcPr>
            <w:tcW w:type="dxa" w:w="1440"/>
          </w:tcPr>
          <w:p>
            <w:r>
              <w:rPr>
                <w:sz w:val="18"/>
              </w:rPr>
              <w:t>Every change</w:t>
            </w:r>
          </w:p>
        </w:tc>
        <w:tc>
          <w:tcPr>
            <w:tcW w:type="dxa" w:w="1296"/>
          </w:tcPr>
          <w:p>
            <w:r>
              <w:rPr>
                <w:sz w:val="18"/>
              </w:rPr>
              <w:t>Indefinite</w:t>
            </w:r>
          </w:p>
        </w:tc>
        <w:tc>
          <w:tcPr>
            <w:tcW w:type="dxa" w:w="1728"/>
          </w:tcPr>
          <w:p>
            <w:r>
              <w:rPr>
                <w:sz w:val="18"/>
              </w:rPr>
              <w:t>GitHub</w:t>
            </w:r>
          </w:p>
        </w:tc>
      </w:tr>
      <w:tr>
        <w:tc>
          <w:tcPr>
            <w:tcW w:type="dxa" w:w="2016"/>
          </w:tcPr>
          <w:p>
            <w:r>
              <w:rPr>
                <w:sz w:val="18"/>
              </w:rPr>
              <w:t>Application configuration</w:t>
            </w:r>
          </w:p>
        </w:tc>
        <w:tc>
          <w:tcPr>
            <w:tcW w:type="dxa" w:w="2448"/>
          </w:tcPr>
          <w:p>
            <w:r>
              <w:rPr>
                <w:sz w:val="18"/>
              </w:rPr>
              <w:t>Exported and version-controlled</w:t>
            </w:r>
          </w:p>
        </w:tc>
        <w:tc>
          <w:tcPr>
            <w:tcW w:type="dxa" w:w="1440"/>
          </w:tcPr>
          <w:p>
            <w:r>
              <w:rPr>
                <w:sz w:val="18"/>
              </w:rPr>
              <w:t>On change</w:t>
            </w:r>
          </w:p>
        </w:tc>
        <w:tc>
          <w:tcPr>
            <w:tcW w:type="dxa" w:w="1296"/>
          </w:tcPr>
          <w:p>
            <w:r>
              <w:rPr>
                <w:sz w:val="18"/>
              </w:rPr>
              <w:t>Indefinite</w:t>
            </w:r>
          </w:p>
        </w:tc>
        <w:tc>
          <w:tcPr>
            <w:tcW w:type="dxa" w:w="1728"/>
          </w:tcPr>
          <w:p>
            <w:r>
              <w:rPr>
                <w:sz w:val="18"/>
              </w:rPr>
              <w:t>GitHub</w:t>
            </w:r>
          </w:p>
        </w:tc>
      </w:tr>
      <w:tr>
        <w:tc>
          <w:tcPr>
            <w:tcW w:type="dxa" w:w="2016"/>
          </w:tcPr>
          <w:p>
            <w:r>
              <w:rPr>
                <w:sz w:val="18"/>
              </w:rPr>
              <w:t>Audit logs</w:t>
            </w:r>
          </w:p>
        </w:tc>
        <w:tc>
          <w:tcPr>
            <w:tcW w:type="dxa" w:w="2448"/>
          </w:tcPr>
          <w:p>
            <w:r>
              <w:rPr>
                <w:sz w:val="18"/>
              </w:rPr>
              <w:t>Database backup plus log workspace retention</w:t>
            </w:r>
          </w:p>
        </w:tc>
        <w:tc>
          <w:tcPr>
            <w:tcW w:type="dxa" w:w="1440"/>
          </w:tcPr>
          <w:p>
            <w:r>
              <w:rPr>
                <w:sz w:val="18"/>
              </w:rPr>
              <w:t>Continuous</w:t>
            </w:r>
          </w:p>
        </w:tc>
        <w:tc>
          <w:tcPr>
            <w:tcW w:type="dxa" w:w="1296"/>
          </w:tcPr>
          <w:p>
            <w:r>
              <w:rPr>
                <w:sz w:val="18"/>
              </w:rPr>
              <w:t>6 years</w:t>
            </w:r>
          </w:p>
        </w:tc>
        <w:tc>
          <w:tcPr>
            <w:tcW w:type="dxa" w:w="1728"/>
          </w:tcPr>
          <w:p>
            <w:r>
              <w:rPr>
                <w:sz w:val="18"/>
              </w:rPr>
              <w:t>Azure</w:t>
            </w:r>
          </w:p>
        </w:tc>
      </w:tr>
      <w:tr>
        <w:tc>
          <w:tcPr>
            <w:tcW w:type="dxa" w:w="2016"/>
          </w:tcPr>
          <w:p>
            <w:r>
              <w:rPr>
                <w:sz w:val="18"/>
              </w:rPr>
              <w:t>Compliance documentation</w:t>
            </w:r>
          </w:p>
        </w:tc>
        <w:tc>
          <w:tcPr>
            <w:tcW w:type="dxa" w:w="2448"/>
          </w:tcPr>
          <w:p>
            <w:r>
              <w:rPr>
                <w:sz w:val="18"/>
              </w:rPr>
              <w:t>Version-controlled repository</w:t>
            </w:r>
          </w:p>
        </w:tc>
        <w:tc>
          <w:tcPr>
            <w:tcW w:type="dxa" w:w="1440"/>
          </w:tcPr>
          <w:p>
            <w:r>
              <w:rPr>
                <w:sz w:val="18"/>
              </w:rPr>
              <w:t>On change</w:t>
            </w:r>
          </w:p>
        </w:tc>
        <w:tc>
          <w:tcPr>
            <w:tcW w:type="dxa" w:w="1296"/>
          </w:tcPr>
          <w:p>
            <w:r>
              <w:rPr>
                <w:sz w:val="18"/>
              </w:rPr>
              <w:t>6 years</w:t>
            </w:r>
          </w:p>
        </w:tc>
        <w:tc>
          <w:tcPr>
            <w:tcW w:type="dxa" w:w="1728"/>
          </w:tcPr>
          <w:p>
            <w:r>
              <w:rPr>
                <w:sz w:val="18"/>
              </w:rPr>
              <w:t>GitHub</w:t>
            </w:r>
          </w:p>
        </w:tc>
      </w:tr>
    </w:tbl>
    <w:p/>
    <w:p>
      <w:pPr>
        <w:pStyle w:val="Heading1"/>
      </w:pPr>
      <w:r>
        <w:t>4. Backup characteristics</w:t>
      </w:r>
    </w:p>
    <w:p>
      <w:pPr>
        <w:pStyle w:val="ListBullet"/>
      </w:pPr>
      <w:r>
        <w:t>Backups are encrypted at rest by the platform using AES-256.</w:t>
      </w:r>
    </w:p>
    <w:p>
      <w:pPr>
        <w:pStyle w:val="ListBullet"/>
      </w:pPr>
      <w:r>
        <w:t>Backups inherit the classification of their source; a backup of Restricted data is Restricted.</w:t>
      </w:r>
    </w:p>
    <w:p>
      <w:pPr>
        <w:pStyle w:val="ListBullet"/>
      </w:pPr>
      <w:r>
        <w:t>Geo-redundant storage places a copy in the Azure paired region, which is what makes regional failure survivable.</w:t>
      </w:r>
    </w:p>
    <w:p>
      <w:pPr>
        <w:pStyle w:val="ListBullet"/>
      </w:pPr>
      <w:r>
        <w:t>Backup access is restricted to the Security Officer and Engineering; restoration is a logged administrative action.</w:t>
      </w:r>
    </w:p>
    <w:p>
      <w:r>
        <w:rPr>
          <w:i/>
          <w:color w:val="5A5A5A"/>
          <w:sz w:val="19"/>
        </w:rPr>
        <w:t>Geo-redundant backup on Azure Database for PostgreSQL Flexible Server can only be selected at server creation. It cannot be enabled afterwards. Any server created without it must be rebuilt or migrated to gain it, which makes this a provisioning-time decision with permanent consequences.</w:t>
      </w:r>
    </w:p>
    <w:p>
      <w:pPr>
        <w:pStyle w:val="Heading1"/>
      </w:pPr>
      <w:r>
        <w:t>5. Restoration testing</w:t>
      </w:r>
    </w:p>
    <w:p>
      <w:r>
        <w:t>Testing is the substance of this policy. The schedule below is mandatory and the record is retained as compliance evidence.</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fill="0F2B4C"/>
          </w:tcPr>
          <w:p>
            <w:r>
              <w:rPr>
                <w:b/>
                <w:color w:val="FFFFFF"/>
                <w:sz w:val="18"/>
              </w:rPr>
              <w:t>Test</w:t>
            </w:r>
          </w:p>
        </w:tc>
        <w:tc>
          <w:tcPr>
            <w:tcW w:type="dxa" w:w="1440"/>
            <w:shd w:val="clear" w:fill="0F2B4C"/>
          </w:tcPr>
          <w:p>
            <w:r>
              <w:rPr>
                <w:b/>
                <w:color w:val="FFFFFF"/>
                <w:sz w:val="18"/>
              </w:rPr>
              <w:t>Frequency</w:t>
            </w:r>
          </w:p>
        </w:tc>
        <w:tc>
          <w:tcPr>
            <w:tcW w:type="dxa" w:w="3168"/>
            <w:shd w:val="clear" w:fill="0F2B4C"/>
          </w:tcPr>
          <w:p>
            <w:r>
              <w:rPr>
                <w:b/>
                <w:color w:val="FFFFFF"/>
                <w:sz w:val="18"/>
              </w:rPr>
              <w:t>Success criteria</w:t>
            </w:r>
          </w:p>
        </w:tc>
        <w:tc>
          <w:tcPr>
            <w:tcW w:type="dxa" w:w="1728"/>
            <w:shd w:val="clear" w:fill="0F2B4C"/>
          </w:tcPr>
          <w:p>
            <w:r>
              <w:rPr>
                <w:b/>
                <w:color w:val="FFFFFF"/>
                <w:sz w:val="18"/>
              </w:rPr>
              <w:t>Record</w:t>
            </w:r>
          </w:p>
        </w:tc>
      </w:tr>
      <w:tr>
        <w:tc>
          <w:tcPr>
            <w:tcW w:type="dxa" w:w="2592"/>
          </w:tcPr>
          <w:p>
            <w:r>
              <w:rPr>
                <w:sz w:val="18"/>
              </w:rPr>
              <w:t>Point-in-time restore to a scratch server</w:t>
            </w:r>
          </w:p>
        </w:tc>
        <w:tc>
          <w:tcPr>
            <w:tcW w:type="dxa" w:w="1440"/>
          </w:tcPr>
          <w:p>
            <w:r>
              <w:rPr>
                <w:sz w:val="18"/>
              </w:rPr>
              <w:t>Quarterly</w:t>
            </w:r>
          </w:p>
        </w:tc>
        <w:tc>
          <w:tcPr>
            <w:tcW w:type="dxa" w:w="3168"/>
          </w:tcPr>
          <w:p>
            <w:r>
              <w:rPr>
                <w:sz w:val="18"/>
              </w:rPr>
              <w:t>Restore completes; row counts and a sample of records match expectation</w:t>
            </w:r>
          </w:p>
        </w:tc>
        <w:tc>
          <w:tcPr>
            <w:tcW w:type="dxa" w:w="1728"/>
          </w:tcPr>
          <w:p>
            <w:r>
              <w:rPr>
                <w:sz w:val="18"/>
              </w:rPr>
              <w:t>Backup Test Record</w:t>
            </w:r>
          </w:p>
        </w:tc>
      </w:tr>
      <w:tr>
        <w:tc>
          <w:tcPr>
            <w:tcW w:type="dxa" w:w="2592"/>
          </w:tcPr>
          <w:p>
            <w:r>
              <w:rPr>
                <w:sz w:val="18"/>
              </w:rPr>
              <w:t>Geo-restore to the paired region</w:t>
            </w:r>
          </w:p>
        </w:tc>
        <w:tc>
          <w:tcPr>
            <w:tcW w:type="dxa" w:w="1440"/>
          </w:tcPr>
          <w:p>
            <w:r>
              <w:rPr>
                <w:sz w:val="18"/>
              </w:rPr>
              <w:t>Annually</w:t>
            </w:r>
          </w:p>
        </w:tc>
        <w:tc>
          <w:tcPr>
            <w:tcW w:type="dxa" w:w="3168"/>
          </w:tcPr>
          <w:p>
            <w:r>
              <w:rPr>
                <w:sz w:val="18"/>
              </w:rPr>
              <w:t>Restore completes within the RTO; application connects</w:t>
            </w:r>
          </w:p>
        </w:tc>
        <w:tc>
          <w:tcPr>
            <w:tcW w:type="dxa" w:w="1728"/>
          </w:tcPr>
          <w:p>
            <w:r>
              <w:rPr>
                <w:sz w:val="18"/>
              </w:rPr>
              <w:t>DR Test Record</w:t>
            </w:r>
          </w:p>
        </w:tc>
      </w:tr>
      <w:tr>
        <w:tc>
          <w:tcPr>
            <w:tcW w:type="dxa" w:w="2592"/>
          </w:tcPr>
          <w:p>
            <w:r>
              <w:rPr>
                <w:sz w:val="18"/>
              </w:rPr>
              <w:t>Key Vault secret recovery</w:t>
            </w:r>
          </w:p>
        </w:tc>
        <w:tc>
          <w:tcPr>
            <w:tcW w:type="dxa" w:w="1440"/>
          </w:tcPr>
          <w:p>
            <w:r>
              <w:rPr>
                <w:sz w:val="18"/>
              </w:rPr>
              <w:t>Annually</w:t>
            </w:r>
          </w:p>
        </w:tc>
        <w:tc>
          <w:tcPr>
            <w:tcW w:type="dxa" w:w="3168"/>
          </w:tcPr>
          <w:p>
            <w:r>
              <w:rPr>
                <w:sz w:val="18"/>
              </w:rPr>
              <w:t>Soft-deleted secret recovered intact</w:t>
            </w:r>
          </w:p>
        </w:tc>
        <w:tc>
          <w:tcPr>
            <w:tcW w:type="dxa" w:w="1728"/>
          </w:tcPr>
          <w:p>
            <w:r>
              <w:rPr>
                <w:sz w:val="18"/>
              </w:rPr>
              <w:t>Backup Test Record</w:t>
            </w:r>
          </w:p>
        </w:tc>
      </w:tr>
      <w:tr>
        <w:tc>
          <w:tcPr>
            <w:tcW w:type="dxa" w:w="2592"/>
          </w:tcPr>
          <w:p>
            <w:r>
              <w:rPr>
                <w:sz w:val="18"/>
              </w:rPr>
              <w:t>Full application rebuild from source</w:t>
            </w:r>
          </w:p>
        </w:tc>
        <w:tc>
          <w:tcPr>
            <w:tcW w:type="dxa" w:w="1440"/>
          </w:tcPr>
          <w:p>
            <w:r>
              <w:rPr>
                <w:sz w:val="18"/>
              </w:rPr>
              <w:t>Annually</w:t>
            </w:r>
          </w:p>
        </w:tc>
        <w:tc>
          <w:tcPr>
            <w:tcW w:type="dxa" w:w="3168"/>
          </w:tcPr>
          <w:p>
            <w:r>
              <w:rPr>
                <w:sz w:val="18"/>
              </w:rPr>
              <w:t>Application deploys from tag and serves traffic</w:t>
            </w:r>
          </w:p>
        </w:tc>
        <w:tc>
          <w:tcPr>
            <w:tcW w:type="dxa" w:w="1728"/>
          </w:tcPr>
          <w:p>
            <w:r>
              <w:rPr>
                <w:sz w:val="18"/>
              </w:rPr>
              <w:t>DR Test Record</w:t>
            </w:r>
          </w:p>
        </w:tc>
      </w:tr>
    </w:tbl>
    <w:p/>
    <w:p>
      <w:pPr>
        <w:pStyle w:val="Heading1"/>
      </w:pPr>
      <w:r>
        <w:t>6. Restoration procedure</w:t>
      </w:r>
    </w:p>
    <w:p>
      <w:pPr>
        <w:pStyle w:val="ListNumber"/>
      </w:pPr>
      <w:r>
        <w:t>Declare the restoration need and obtain approval from the CEO or Security Officer.</w:t>
      </w:r>
    </w:p>
    <w:p>
      <w:pPr>
        <w:pStyle w:val="ListNumber"/>
      </w:pPr>
      <w:r>
        <w:t>Identify the target recovery point; confirm it precedes the corrupting event.</w:t>
      </w:r>
    </w:p>
    <w:p>
      <w:pPr>
        <w:pStyle w:val="ListNumber"/>
      </w:pPr>
      <w:r>
        <w:t>Restore to a NEW server rather than over the live one. Restoring in place destroys the forensic record and removes the option of comparing states.</w:t>
      </w:r>
    </w:p>
    <w:p>
      <w:pPr>
        <w:pStyle w:val="ListNumber"/>
      </w:pPr>
      <w:r>
        <w:t>Verify integrity: row counts, referential integrity, and a sample of known records.</w:t>
      </w:r>
    </w:p>
    <w:p>
      <w:pPr>
        <w:pStyle w:val="ListNumber"/>
      </w:pPr>
      <w:r>
        <w:t>Repoint the application only after verification.</w:t>
      </w:r>
    </w:p>
    <w:p>
      <w:pPr>
        <w:pStyle w:val="ListNumber"/>
      </w:pPr>
      <w:r>
        <w:t>Record the restoration, including the recovery point achieved versus the objective.</w:t>
      </w:r>
    </w:p>
    <w:p>
      <w:pPr>
        <w:pStyle w:val="Heading1"/>
      </w:pPr>
      <w:r>
        <w:t>7. Backup failure handling</w:t>
      </w:r>
    </w:p>
    <w:p>
      <w:r>
        <w:t>A failed backup is a Medium-severity incident. Two consecutive failures for the same asset escalate to High. Backup status is included in the monthly review under AGT-CMS-024, because a silent backup failure is only discovered at the worst possible moment.</w:t>
      </w:r>
    </w:p>
    <w:p>
      <w:pPr>
        <w:pStyle w:val="Heading2"/>
      </w:pPr>
      <w:r>
        <w:t>Roles and responsibilities</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Role</w:t>
            </w:r>
          </w:p>
        </w:tc>
        <w:tc>
          <w:tcPr>
            <w:tcW w:type="dxa" w:w="6336"/>
            <w:shd w:val="clear" w:fill="0F2B4C"/>
          </w:tcPr>
          <w:p>
            <w:r>
              <w:rPr>
                <w:b/>
                <w:color w:val="FFFFFF"/>
                <w:sz w:val="18"/>
              </w:rPr>
              <w:t>Responsibility</w:t>
            </w:r>
          </w:p>
        </w:tc>
      </w:tr>
      <w:tr>
        <w:tc>
          <w:tcPr>
            <w:tcW w:type="dxa" w:w="2592"/>
          </w:tcPr>
          <w:p>
            <w:r>
              <w:rPr>
                <w:sz w:val="18"/>
              </w:rPr>
              <w:t>Engineering</w:t>
            </w:r>
          </w:p>
        </w:tc>
        <w:tc>
          <w:tcPr>
            <w:tcW w:type="dxa" w:w="6336"/>
          </w:tcPr>
          <w:p>
            <w:r>
              <w:rPr>
                <w:sz w:val="18"/>
              </w:rPr>
              <w:t>Configures backup; performs restoration tests; records results.</w:t>
            </w:r>
          </w:p>
        </w:tc>
      </w:tr>
      <w:tr>
        <w:tc>
          <w:tcPr>
            <w:tcW w:type="dxa" w:w="2592"/>
          </w:tcPr>
          <w:p>
            <w:r>
              <w:rPr>
                <w:sz w:val="18"/>
              </w:rPr>
              <w:t>Security Officer</w:t>
            </w:r>
          </w:p>
        </w:tc>
        <w:tc>
          <w:tcPr>
            <w:tcW w:type="dxa" w:w="6336"/>
          </w:tcPr>
          <w:p>
            <w:r>
              <w:rPr>
                <w:sz w:val="18"/>
              </w:rPr>
              <w:t>Verifies schedule compliance; reviews test records.</w:t>
            </w:r>
          </w:p>
        </w:tc>
      </w:tr>
      <w:tr>
        <w:tc>
          <w:tcPr>
            <w:tcW w:type="dxa" w:w="2592"/>
          </w:tcPr>
          <w:p>
            <w:r>
              <w:rPr>
                <w:sz w:val="18"/>
              </w:rPr>
              <w:t>CEO</w:t>
            </w:r>
          </w:p>
        </w:tc>
        <w:tc>
          <w:tcPr>
            <w:tcW w:type="dxa" w:w="6336"/>
          </w:tcPr>
          <w:p>
            <w:r>
              <w:rPr>
                <w:sz w:val="18"/>
              </w:rPr>
              <w:t>Approves production restoration.</w:t>
            </w:r>
          </w:p>
        </w:tc>
      </w:tr>
    </w:tbl>
    <w:p/>
    <w:p>
      <w:r>
        <w:br w:type="page"/>
      </w:r>
    </w:p>
    <w:p>
      <w:pPr>
        <w:pStyle w:val="Heading2"/>
      </w:pPr>
      <w:r>
        <w:t>Compliance mapping</w:t>
      </w:r>
    </w:p>
    <w:p>
      <w:r>
        <w:t>Each framework reference below identifies the control this document is written to satisfy. Where a control is only partially satisfied, the gap is stated in the row rather than omitted - a mapping table that shows only green is not evidence, it is decoration.</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0F2B4C"/>
          </w:tcPr>
          <w:p>
            <w:r>
              <w:rPr>
                <w:b/>
                <w:color w:val="FFFFFF"/>
                <w:sz w:val="18"/>
              </w:rPr>
              <w:t>Framework</w:t>
            </w:r>
          </w:p>
        </w:tc>
        <w:tc>
          <w:tcPr>
            <w:tcW w:type="dxa" w:w="2160"/>
            <w:shd w:val="clear" w:fill="0F2B4C"/>
          </w:tcPr>
          <w:p>
            <w:r>
              <w:rPr>
                <w:b/>
                <w:color w:val="FFFFFF"/>
                <w:sz w:val="18"/>
              </w:rPr>
              <w:t>Control reference</w:t>
            </w:r>
          </w:p>
        </w:tc>
        <w:tc>
          <w:tcPr>
            <w:tcW w:type="dxa" w:w="4320"/>
            <w:shd w:val="clear" w:fill="0F2B4C"/>
          </w:tcPr>
          <w:p>
            <w:r>
              <w:rPr>
                <w:b/>
                <w:color w:val="FFFFFF"/>
                <w:sz w:val="18"/>
              </w:rPr>
              <w:t>How this document satisfies it</w:t>
            </w:r>
          </w:p>
        </w:tc>
        <w:tc>
          <w:tcPr>
            <w:tcW w:type="dxa" w:w="1152"/>
            <w:shd w:val="clear" w:fill="0F2B4C"/>
          </w:tcPr>
          <w:p>
            <w:r>
              <w:rPr>
                <w:b/>
                <w:color w:val="FFFFFF"/>
                <w:sz w:val="18"/>
              </w:rPr>
              <w:t>Status</w:t>
            </w:r>
          </w:p>
        </w:tc>
      </w:tr>
      <w:tr>
        <w:tc>
          <w:tcPr>
            <w:tcW w:type="dxa" w:w="1584"/>
          </w:tcPr>
          <w:p>
            <w:r>
              <w:rPr>
                <w:sz w:val="18"/>
              </w:rPr>
              <w:t>NIST 800-53</w:t>
            </w:r>
          </w:p>
        </w:tc>
        <w:tc>
          <w:tcPr>
            <w:tcW w:type="dxa" w:w="2160"/>
          </w:tcPr>
          <w:p>
            <w:r>
              <w:rPr>
                <w:sz w:val="18"/>
              </w:rPr>
              <w:t>CP-9, CP-10, CP-9(1)</w:t>
            </w:r>
          </w:p>
        </w:tc>
        <w:tc>
          <w:tcPr>
            <w:tcW w:type="dxa" w:w="4320"/>
          </w:tcPr>
          <w:p>
            <w:r>
              <w:rPr>
                <w:sz w:val="18"/>
              </w:rPr>
              <w:t>System backup, recovery and reconstitution, testing for reliability.</w:t>
            </w:r>
          </w:p>
        </w:tc>
        <w:tc>
          <w:tcPr>
            <w:tcW w:type="dxa" w:w="1152"/>
          </w:tcPr>
          <w:p>
            <w:r>
              <w:rPr>
                <w:sz w:val="18"/>
              </w:rPr>
              <w:t>Met</w:t>
            </w:r>
          </w:p>
        </w:tc>
      </w:tr>
      <w:tr>
        <w:tc>
          <w:tcPr>
            <w:tcW w:type="dxa" w:w="1584"/>
          </w:tcPr>
          <w:p>
            <w:r>
              <w:rPr>
                <w:sz w:val="18"/>
              </w:rPr>
              <w:t>HIPAA</w:t>
            </w:r>
          </w:p>
        </w:tc>
        <w:tc>
          <w:tcPr>
            <w:tcW w:type="dxa" w:w="2160"/>
          </w:tcPr>
          <w:p>
            <w:r>
              <w:rPr>
                <w:sz w:val="18"/>
              </w:rPr>
              <w:t>164.308(a)(7)(ii)(A)</w:t>
            </w:r>
          </w:p>
        </w:tc>
        <w:tc>
          <w:tcPr>
            <w:tcW w:type="dxa" w:w="4320"/>
          </w:tcPr>
          <w:p>
            <w:r>
              <w:rPr>
                <w:sz w:val="18"/>
              </w:rPr>
              <w:t>Data backup plan.</w:t>
            </w:r>
          </w:p>
        </w:tc>
        <w:tc>
          <w:tcPr>
            <w:tcW w:type="dxa" w:w="1152"/>
          </w:tcPr>
          <w:p>
            <w:r>
              <w:rPr>
                <w:sz w:val="18"/>
              </w:rPr>
              <w:t>Met</w:t>
            </w:r>
          </w:p>
        </w:tc>
      </w:tr>
      <w:tr>
        <w:tc>
          <w:tcPr>
            <w:tcW w:type="dxa" w:w="1584"/>
          </w:tcPr>
          <w:p>
            <w:r>
              <w:rPr>
                <w:sz w:val="18"/>
              </w:rPr>
              <w:t>HIPAA</w:t>
            </w:r>
          </w:p>
        </w:tc>
        <w:tc>
          <w:tcPr>
            <w:tcW w:type="dxa" w:w="2160"/>
          </w:tcPr>
          <w:p>
            <w:r>
              <w:rPr>
                <w:sz w:val="18"/>
              </w:rPr>
              <w:t>164.310(d)(2)(iv)</w:t>
            </w:r>
          </w:p>
        </w:tc>
        <w:tc>
          <w:tcPr>
            <w:tcW w:type="dxa" w:w="4320"/>
          </w:tcPr>
          <w:p>
            <w:r>
              <w:rPr>
                <w:sz w:val="18"/>
              </w:rPr>
              <w:t>Data backup and storage before equipment movement.</w:t>
            </w:r>
          </w:p>
        </w:tc>
        <w:tc>
          <w:tcPr>
            <w:tcW w:type="dxa" w:w="1152"/>
          </w:tcPr>
          <w:p>
            <w:r>
              <w:rPr>
                <w:sz w:val="18"/>
              </w:rPr>
              <w:t>Met</w:t>
            </w:r>
          </w:p>
        </w:tc>
      </w:tr>
      <w:tr>
        <w:tc>
          <w:tcPr>
            <w:tcW w:type="dxa" w:w="1584"/>
          </w:tcPr>
          <w:p>
            <w:r>
              <w:rPr>
                <w:sz w:val="18"/>
              </w:rPr>
              <w:t>SOC 2</w:t>
            </w:r>
          </w:p>
        </w:tc>
        <w:tc>
          <w:tcPr>
            <w:tcW w:type="dxa" w:w="2160"/>
          </w:tcPr>
          <w:p>
            <w:r>
              <w:rPr>
                <w:sz w:val="18"/>
              </w:rPr>
              <w:t>A1.2, A1.3</w:t>
            </w:r>
          </w:p>
        </w:tc>
        <w:tc>
          <w:tcPr>
            <w:tcW w:type="dxa" w:w="4320"/>
          </w:tcPr>
          <w:p>
            <w:r>
              <w:rPr>
                <w:sz w:val="18"/>
              </w:rPr>
              <w:t>Environmental protections, backup, and recovery testing.</w:t>
            </w:r>
          </w:p>
        </w:tc>
        <w:tc>
          <w:tcPr>
            <w:tcW w:type="dxa" w:w="1152"/>
          </w:tcPr>
          <w:p>
            <w:r>
              <w:rPr>
                <w:sz w:val="18"/>
              </w:rPr>
              <w:t>Met</w:t>
            </w:r>
          </w:p>
        </w:tc>
      </w:tr>
      <w:tr>
        <w:tc>
          <w:tcPr>
            <w:tcW w:type="dxa" w:w="1584"/>
          </w:tcPr>
          <w:p>
            <w:r>
              <w:rPr>
                <w:sz w:val="18"/>
              </w:rPr>
              <w:t>ISO 27001</w:t>
            </w:r>
          </w:p>
        </w:tc>
        <w:tc>
          <w:tcPr>
            <w:tcW w:type="dxa" w:w="2160"/>
          </w:tcPr>
          <w:p>
            <w:r>
              <w:rPr>
                <w:sz w:val="18"/>
              </w:rPr>
              <w:t>A.8.13</w:t>
            </w:r>
          </w:p>
        </w:tc>
        <w:tc>
          <w:tcPr>
            <w:tcW w:type="dxa" w:w="4320"/>
          </w:tcPr>
          <w:p>
            <w:r>
              <w:rPr>
                <w:sz w:val="18"/>
              </w:rPr>
              <w:t>Information backup.</w:t>
            </w:r>
          </w:p>
        </w:tc>
        <w:tc>
          <w:tcPr>
            <w:tcW w:type="dxa" w:w="1152"/>
          </w:tcPr>
          <w:p>
            <w:r>
              <w:rPr>
                <w:sz w:val="18"/>
              </w:rPr>
              <w:t>Met</w:t>
            </w:r>
          </w:p>
        </w:tc>
      </w:tr>
      <w:tr>
        <w:tc>
          <w:tcPr>
            <w:tcW w:type="dxa" w:w="1584"/>
          </w:tcPr>
          <w:p>
            <w:r>
              <w:rPr>
                <w:sz w:val="18"/>
              </w:rPr>
              <w:t>ISO 20000-1</w:t>
            </w:r>
          </w:p>
        </w:tc>
        <w:tc>
          <w:tcPr>
            <w:tcW w:type="dxa" w:w="2160"/>
          </w:tcPr>
          <w:p>
            <w:r>
              <w:rPr>
                <w:sz w:val="18"/>
              </w:rPr>
              <w:t>Clause 8.7.2</w:t>
            </w:r>
          </w:p>
        </w:tc>
        <w:tc>
          <w:tcPr>
            <w:tcW w:type="dxa" w:w="4320"/>
          </w:tcPr>
          <w:p>
            <w:r>
              <w:rPr>
                <w:sz w:val="18"/>
              </w:rPr>
              <w:t>Service continuity and availability management.</w:t>
            </w:r>
          </w:p>
        </w:tc>
        <w:tc>
          <w:tcPr>
            <w:tcW w:type="dxa" w:w="1152"/>
          </w:tcPr>
          <w:p>
            <w:r>
              <w:rPr>
                <w:sz w:val="18"/>
              </w:rPr>
              <w:t>Met</w:t>
            </w:r>
          </w:p>
        </w:tc>
      </w:tr>
      <w:tr>
        <w:tc>
          <w:tcPr>
            <w:tcW w:type="dxa" w:w="1584"/>
          </w:tcPr>
          <w:p>
            <w:r>
              <w:rPr>
                <w:sz w:val="18"/>
              </w:rPr>
              <w:t>FedRAMP</w:t>
            </w:r>
          </w:p>
        </w:tc>
        <w:tc>
          <w:tcPr>
            <w:tcW w:type="dxa" w:w="2160"/>
          </w:tcPr>
          <w:p>
            <w:r>
              <w:rPr>
                <w:sz w:val="18"/>
              </w:rPr>
              <w:t>CP-9(1)</w:t>
            </w:r>
          </w:p>
        </w:tc>
        <w:tc>
          <w:tcPr>
            <w:tcW w:type="dxa" w:w="4320"/>
          </w:tcPr>
          <w:p>
            <w:r>
              <w:rPr>
                <w:sz w:val="18"/>
              </w:rPr>
              <w:t>Testing backup information to verify reliability.</w:t>
            </w:r>
          </w:p>
        </w:tc>
        <w:tc>
          <w:tcPr>
            <w:tcW w:type="dxa" w:w="1152"/>
          </w:tcPr>
          <w:p>
            <w:r>
              <w:rPr>
                <w:sz w:val="18"/>
              </w:rPr>
              <w:t>Met</w:t>
            </w:r>
          </w:p>
        </w:tc>
      </w:tr>
    </w:tbl>
    <w:p/>
    <w:p>
      <w:pPr>
        <w:pStyle w:val="Heading2"/>
      </w:pPr>
      <w:r>
        <w:t>Related documents</w:t>
      </w:r>
    </w:p>
    <w:tbl>
      <w:tblPr>
        <w:tblStyle w:val="TableGrid"/>
        <w:tblW w:type="auto" w:w="0"/>
        <w:tblLook w:firstColumn="1" w:firstRow="1" w:lastColumn="0" w:lastRow="0" w:noHBand="0" w:noVBand="1" w:val="04A0"/>
      </w:tblPr>
      <w:tblGrid>
        <w:gridCol w:w="3120"/>
        <w:gridCol w:w="3120"/>
        <w:gridCol w:w="3120"/>
      </w:tblGrid>
      <w:tr>
        <w:tc>
          <w:tcPr>
            <w:tcW w:type="dxa" w:w="1872"/>
            <w:shd w:val="clear" w:fill="0F2B4C"/>
          </w:tcPr>
          <w:p>
            <w:r>
              <w:rPr>
                <w:b/>
                <w:color w:val="FFFFFF"/>
                <w:sz w:val="18"/>
              </w:rPr>
              <w:t>Document ID</w:t>
            </w:r>
          </w:p>
        </w:tc>
        <w:tc>
          <w:tcPr>
            <w:tcW w:type="dxa" w:w="4176"/>
            <w:shd w:val="clear" w:fill="0F2B4C"/>
          </w:tcPr>
          <w:p>
            <w:r>
              <w:rPr>
                <w:b/>
                <w:color w:val="FFFFFF"/>
                <w:sz w:val="18"/>
              </w:rPr>
              <w:t>Title</w:t>
            </w:r>
          </w:p>
        </w:tc>
        <w:tc>
          <w:tcPr>
            <w:tcW w:type="dxa" w:w="3168"/>
            <w:shd w:val="clear" w:fill="0F2B4C"/>
          </w:tcPr>
          <w:p>
            <w:r>
              <w:rPr>
                <w:b/>
                <w:color w:val="FFFFFF"/>
                <w:sz w:val="18"/>
              </w:rPr>
              <w:t>Relationship</w:t>
            </w:r>
          </w:p>
        </w:tc>
      </w:tr>
      <w:tr>
        <w:tc>
          <w:tcPr>
            <w:tcW w:type="dxa" w:w="1872"/>
          </w:tcPr>
          <w:p>
            <w:r>
              <w:rPr>
                <w:sz w:val="18"/>
              </w:rPr>
              <w:t>AGT-DRP-021</w:t>
            </w:r>
          </w:p>
        </w:tc>
        <w:tc>
          <w:tcPr>
            <w:tcW w:type="dxa" w:w="4176"/>
          </w:tcPr>
          <w:p>
            <w:r>
              <w:rPr>
                <w:sz w:val="18"/>
              </w:rPr>
              <w:t>Disaster Recovery Policy</w:t>
            </w:r>
          </w:p>
        </w:tc>
        <w:tc>
          <w:tcPr>
            <w:tcW w:type="dxa" w:w="3168"/>
          </w:tcPr>
          <w:p>
            <w:r>
              <w:rPr>
                <w:sz w:val="18"/>
              </w:rPr>
              <w:t>Consumes these backups for recovery</w:t>
            </w:r>
          </w:p>
        </w:tc>
      </w:tr>
      <w:tr>
        <w:tc>
          <w:tcPr>
            <w:tcW w:type="dxa" w:w="1872"/>
          </w:tcPr>
          <w:p>
            <w:r>
              <w:rPr>
                <w:sz w:val="18"/>
              </w:rPr>
              <w:t>AGT-BCP-020</w:t>
            </w:r>
          </w:p>
        </w:tc>
        <w:tc>
          <w:tcPr>
            <w:tcW w:type="dxa" w:w="4176"/>
          </w:tcPr>
          <w:p>
            <w:r>
              <w:rPr>
                <w:sz w:val="18"/>
              </w:rPr>
              <w:t>Business Continuity Policy</w:t>
            </w:r>
          </w:p>
        </w:tc>
        <w:tc>
          <w:tcPr>
            <w:tcW w:type="dxa" w:w="3168"/>
          </w:tcPr>
          <w:p>
            <w:r>
              <w:rPr>
                <w:sz w:val="18"/>
              </w:rPr>
              <w:t>Business context for recovery objectives</w:t>
            </w:r>
          </w:p>
        </w:tc>
      </w:tr>
      <w:tr>
        <w:tc>
          <w:tcPr>
            <w:tcW w:type="dxa" w:w="1872"/>
          </w:tcPr>
          <w:p>
            <w:r>
              <w:rPr>
                <w:sz w:val="18"/>
              </w:rPr>
              <w:t>AGT-DRP-007</w:t>
            </w:r>
          </w:p>
        </w:tc>
        <w:tc>
          <w:tcPr>
            <w:tcW w:type="dxa" w:w="4176"/>
          </w:tcPr>
          <w:p>
            <w:r>
              <w:rPr>
                <w:sz w:val="18"/>
              </w:rPr>
              <w:t>Data Retention Policy</w:t>
            </w:r>
          </w:p>
        </w:tc>
        <w:tc>
          <w:tcPr>
            <w:tcW w:type="dxa" w:w="3168"/>
          </w:tcPr>
          <w:p>
            <w:r>
              <w:rPr>
                <w:sz w:val="18"/>
              </w:rPr>
              <w:t>Retention interaction with backup expiry</w:t>
            </w:r>
          </w:p>
        </w:tc>
      </w:tr>
      <w:tr>
        <w:tc>
          <w:tcPr>
            <w:tcW w:type="dxa" w:w="1872"/>
          </w:tcPr>
          <w:p>
            <w:r>
              <w:rPr>
                <w:sz w:val="18"/>
              </w:rPr>
              <w:t>AGT-CfMP-016</w:t>
            </w:r>
          </w:p>
        </w:tc>
        <w:tc>
          <w:tcPr>
            <w:tcW w:type="dxa" w:w="4176"/>
          </w:tcPr>
          <w:p>
            <w:r>
              <w:rPr>
                <w:sz w:val="18"/>
              </w:rPr>
              <w:t>Configuration Management Policy</w:t>
            </w:r>
          </w:p>
        </w:tc>
        <w:tc>
          <w:tcPr>
            <w:tcW w:type="dxa" w:w="3168"/>
          </w:tcPr>
          <w:p>
            <w:r>
              <w:rPr>
                <w:sz w:val="18"/>
              </w:rPr>
              <w:t>Backup settings are baseline values</w:t>
            </w:r>
          </w:p>
        </w:tc>
      </w:tr>
    </w:tbl>
    <w:p/>
    <w:p>
      <w:r>
        <w:br w:type="page"/>
      </w:r>
    </w:p>
    <w:p>
      <w:pPr>
        <w:pStyle w:val="Heading1"/>
      </w:pPr>
      <w:r>
        <w:t>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fill="0F2B4C"/>
          </w:tcPr>
          <w:p>
            <w:r>
              <w:rPr>
                <w:b/>
                <w:color w:val="FFFFFF"/>
                <w:sz w:val="18"/>
              </w:rPr>
              <w:t>Version</w:t>
            </w:r>
          </w:p>
        </w:tc>
        <w:tc>
          <w:tcPr>
            <w:tcW w:type="dxa" w:w="1584"/>
            <w:shd w:val="clear" w:fill="0F2B4C"/>
          </w:tcPr>
          <w:p>
            <w:r>
              <w:rPr>
                <w:b/>
                <w:color w:val="FFFFFF"/>
                <w:sz w:val="18"/>
              </w:rPr>
              <w:t>Date</w:t>
            </w:r>
          </w:p>
        </w:tc>
        <w:tc>
          <w:tcPr>
            <w:tcW w:type="dxa" w:w="2016"/>
            <w:shd w:val="clear" w:fill="0F2B4C"/>
          </w:tcPr>
          <w:p>
            <w:r>
              <w:rPr>
                <w:b/>
                <w:color w:val="FFFFFF"/>
                <w:sz w:val="18"/>
              </w:rPr>
              <w:t>Author</w:t>
            </w:r>
          </w:p>
        </w:tc>
        <w:tc>
          <w:tcPr>
            <w:tcW w:type="dxa" w:w="4176"/>
            <w:shd w:val="clear" w:fill="0F2B4C"/>
          </w:tcPr>
          <w:p>
            <w:r>
              <w:rPr>
                <w:b/>
                <w:color w:val="FFFFFF"/>
                <w:sz w:val="18"/>
              </w:rPr>
              <w:t>Summary of change</w:t>
            </w:r>
          </w:p>
        </w:tc>
      </w:tr>
      <w:tr>
        <w:tc>
          <w:tcPr>
            <w:tcW w:type="dxa" w:w="1152"/>
          </w:tcPr>
          <w:p>
            <w:r>
              <w:rPr>
                <w:sz w:val="18"/>
              </w:rPr>
              <w:t>1.0</w:t>
            </w:r>
          </w:p>
        </w:tc>
        <w:tc>
          <w:tcPr>
            <w:tcW w:type="dxa" w:w="1584"/>
          </w:tcPr>
          <w:p>
            <w:r>
              <w:rPr>
                <w:sz w:val="18"/>
              </w:rPr>
              <w:t>2026-07-28</w:t>
            </w:r>
          </w:p>
        </w:tc>
        <w:tc>
          <w:tcPr>
            <w:tcW w:type="dxa" w:w="2016"/>
          </w:tcPr>
          <w:p>
            <w:r>
              <w:rPr>
                <w:sz w:val="18"/>
              </w:rPr>
              <w:t>Imran Siddiqui</w:t>
            </w:r>
          </w:p>
        </w:tc>
        <w:tc>
          <w:tcPr>
            <w:tcW w:type="dxa" w:w="4176"/>
          </w:tcPr>
          <w:p>
            <w:r>
              <w:rPr>
                <w:sz w:val="18"/>
              </w:rPr>
              <w:t>Initial issue.</w:t>
            </w:r>
          </w:p>
        </w:tc>
      </w:tr>
    </w:tbl>
    <w:p/>
    <w:p>
      <w:pPr>
        <w:pStyle w:val="Heading1"/>
      </w:pPr>
      <w:r>
        <w:t>Approval</w:t>
      </w:r>
    </w:p>
    <w:p>
      <w:r>
        <w:t>This document is approved for use and is binding on all personnel and contractors with access to the systems in scope.</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fill="0F2B4C"/>
          </w:tcPr>
          <w:p>
            <w:r>
              <w:rPr>
                <w:b/>
                <w:color w:val="FFFFFF"/>
                <w:sz w:val="18"/>
              </w:rPr>
              <w:t>Role</w:t>
            </w:r>
          </w:p>
        </w:tc>
        <w:tc>
          <w:tcPr>
            <w:tcW w:type="dxa" w:w="2304"/>
            <w:shd w:val="clear" w:fill="0F2B4C"/>
          </w:tcPr>
          <w:p>
            <w:r>
              <w:rPr>
                <w:b/>
                <w:color w:val="FFFFFF"/>
                <w:sz w:val="18"/>
              </w:rPr>
              <w:t>Name</w:t>
            </w:r>
          </w:p>
        </w:tc>
        <w:tc>
          <w:tcPr>
            <w:tcW w:type="dxa" w:w="2304"/>
            <w:shd w:val="clear" w:fill="0F2B4C"/>
          </w:tcPr>
          <w:p>
            <w:r>
              <w:rPr>
                <w:b/>
                <w:color w:val="FFFFFF"/>
                <w:sz w:val="18"/>
              </w:rPr>
              <w:t>Signature</w:t>
            </w:r>
          </w:p>
        </w:tc>
        <w:tc>
          <w:tcPr>
            <w:tcW w:type="dxa" w:w="1728"/>
            <w:shd w:val="clear" w:fill="0F2B4C"/>
          </w:tcPr>
          <w:p>
            <w:r>
              <w:rPr>
                <w:b/>
                <w:color w:val="FFFFFF"/>
                <w:sz w:val="18"/>
              </w:rPr>
              <w:t>Date</w:t>
            </w:r>
          </w:p>
        </w:tc>
      </w:tr>
      <w:tr>
        <w:tc>
          <w:tcPr>
            <w:tcW w:type="dxa" w:w="2592"/>
          </w:tcPr>
          <w:p>
            <w:r>
              <w:rPr>
                <w:sz w:val="18"/>
              </w:rPr>
              <w:t>Chief Executive Officer</w:t>
            </w:r>
          </w:p>
        </w:tc>
        <w:tc>
          <w:tcPr>
            <w:tcW w:type="dxa" w:w="2304"/>
          </w:tcPr>
          <w:p>
            <w:r>
              <w:rPr>
                <w:sz w:val="18"/>
              </w:rPr>
              <w:t>Imran Siddiqui</w:t>
            </w:r>
          </w:p>
        </w:tc>
        <w:tc>
          <w:tcPr>
            <w:tcW w:type="dxa" w:w="2304"/>
          </w:tcPr>
          <w:p>
            <w:r>
              <w:rPr>
                <w:sz w:val="18"/>
              </w:rPr>
            </w:r>
          </w:p>
        </w:tc>
        <w:tc>
          <w:tcPr>
            <w:tcW w:type="dxa" w:w="1728"/>
          </w:tcPr>
          <w:p>
            <w:r>
              <w:rPr>
                <w:sz w:val="18"/>
              </w:rPr>
            </w:r>
          </w:p>
        </w:tc>
      </w:tr>
      <w:tr>
        <w:tc>
          <w:tcPr>
            <w:tcW w:type="dxa" w:w="2592"/>
          </w:tcPr>
          <w:p>
            <w:r>
              <w:rPr>
                <w:sz w:val="18"/>
              </w:rPr>
              <w:t>Security Officer</w:t>
            </w:r>
          </w:p>
        </w:tc>
        <w:tc>
          <w:tcPr>
            <w:tcW w:type="dxa" w:w="2304"/>
          </w:tcPr>
          <w:p>
            <w:r>
              <w:rPr>
                <w:sz w:val="18"/>
              </w:rPr>
            </w:r>
          </w:p>
        </w:tc>
        <w:tc>
          <w:tcPr>
            <w:tcW w:type="dxa" w:w="2304"/>
          </w:tcPr>
          <w:p>
            <w:r>
              <w:rPr>
                <w:sz w:val="18"/>
              </w:rPr>
            </w:r>
          </w:p>
        </w:tc>
        <w:tc>
          <w:tcPr>
            <w:tcW w:type="dxa" w:w="1728"/>
          </w:tcPr>
          <w:p>
            <w:r>
              <w:rPr>
                <w:sz w:val="18"/>
              </w:rPr>
            </w:r>
          </w:p>
        </w:tc>
      </w:tr>
      <w:tr>
        <w:tc>
          <w:tcPr>
            <w:tcW w:type="dxa" w:w="2592"/>
          </w:tcPr>
          <w:p>
            <w:r>
              <w:rPr>
                <w:sz w:val="18"/>
              </w:rPr>
              <w:t>Privacy Officer</w:t>
            </w:r>
          </w:p>
        </w:tc>
        <w:tc>
          <w:tcPr>
            <w:tcW w:type="dxa" w:w="2304"/>
          </w:tcPr>
          <w:p>
            <w:r>
              <w:rPr>
                <w:sz w:val="18"/>
              </w:rPr>
            </w:r>
          </w:p>
        </w:tc>
        <w:tc>
          <w:tcPr>
            <w:tcW w:type="dxa" w:w="2304"/>
          </w:tcPr>
          <w:p>
            <w:r>
              <w:rPr>
                <w:sz w:val="18"/>
              </w:rPr>
            </w:r>
          </w:p>
        </w:tc>
        <w:tc>
          <w:tcPr>
            <w:tcW w:type="dxa" w:w="1728"/>
          </w:tcPr>
          <w:p>
            <w:r>
              <w:rPr>
                <w:sz w:val="18"/>
              </w:rPr>
            </w:r>
          </w:p>
        </w:tc>
      </w:tr>
    </w:tbl>
    <w:p/>
    <w:p>
      <w:r>
        <w:rPr>
          <w:i/>
          <w:color w:val="5A5A5A"/>
          <w:sz w:val="19"/>
        </w:rPr>
        <w:t>Approval is recorded in the document management system; a wet signature is not required where an auditable electronic approval exists.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AGT-BKP-019 v1.0  |  AGT Internal  |  Uncontrolled when printed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B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B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6C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