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0F2B4C"/>
          <w:sz w:val="88"/>
        </w:rPr>
        <w:t>AGT</w:t>
      </w:r>
    </w:p>
    <w:p>
      <w:pPr>
        <w:jc w:val="center"/>
      </w:pPr>
      <w:r>
        <w:rPr>
          <w:color w:val="5A5A5A"/>
          <w:sz w:val="26"/>
        </w:rPr>
        <w:t>Alliance Global Tech Inc.</w:t>
      </w:r>
    </w:p>
    <w:p/>
    <w:p>
      <w:pPr>
        <w:jc w:val="center"/>
      </w:pPr>
      <w:r>
        <w:rPr>
          <w:b/>
          <w:color w:val="0F2B4C"/>
          <w:sz w:val="48"/>
        </w:rPr>
        <w:t>Cryptographic Key Management Policy</w:t>
      </w:r>
    </w:p>
    <w:p>
      <w:pPr>
        <w:jc w:val="center"/>
      </w:pPr>
      <w:r>
        <w:rPr>
          <w:i/>
          <w:color w:val="0F6CBD"/>
          <w:sz w:val="26"/>
        </w:rPr>
        <w:t>DocuAction TEFCA ARC</w:t>
      </w:r>
    </w:p>
    <w:p/>
    <w:p/>
    <w:p/>
    <w:tbl>
      <w:tblPr>
        <w:tblStyle w:val="TableGrid"/>
        <w:tblW w:type="auto" w:w="0"/>
        <w:jc w:val="center"/>
        <w:tblLook w:firstColumn="1" w:firstRow="1" w:lastColumn="0" w:lastRow="0" w:noHBand="0" w:noVBand="1" w:val="04A0"/>
      </w:tblPr>
      <w:tblGrid>
        <w:gridCol w:w="4680"/>
        <w:gridCol w:w="4680"/>
      </w:tblGrid>
      <w:tr>
        <w:tc>
          <w:tcPr>
            <w:tcW w:type="dxa" w:w="2736"/>
            <w:shd w:val="clear" w:fill="EEF3F8"/>
          </w:tcPr>
          <w:p>
            <w:r>
              <w:rPr>
                <w:b/>
                <w:sz w:val="20"/>
              </w:rPr>
              <w:t>Document ID</w:t>
            </w:r>
          </w:p>
        </w:tc>
        <w:tc>
          <w:tcPr>
            <w:tcW w:type="dxa" w:w="5184"/>
          </w:tcPr>
          <w:p>
            <w:r>
              <w:rPr>
                <w:sz w:val="20"/>
              </w:rPr>
              <w:t>AGT-CKM-009</w:t>
            </w:r>
          </w:p>
        </w:tc>
      </w:tr>
      <w:tr>
        <w:tc>
          <w:tcPr>
            <w:tcW w:type="dxa" w:w="2736"/>
            <w:shd w:val="clear" w:fill="EEF3F8"/>
          </w:tcPr>
          <w:p>
            <w:r>
              <w:rPr>
                <w:b/>
                <w:sz w:val="20"/>
              </w:rPr>
              <w:t>Version</w:t>
            </w:r>
          </w:p>
        </w:tc>
        <w:tc>
          <w:tcPr>
            <w:tcW w:type="dxa" w:w="5184"/>
          </w:tcPr>
          <w:p>
            <w:r>
              <w:rPr>
                <w:sz w:val="20"/>
              </w:rPr>
              <w:t>1.0</w:t>
            </w:r>
          </w:p>
        </w:tc>
      </w:tr>
      <w:tr>
        <w:tc>
          <w:tcPr>
            <w:tcW w:type="dxa" w:w="2736"/>
            <w:shd w:val="clear" w:fill="EEF3F8"/>
          </w:tcPr>
          <w:p>
            <w:r>
              <w:rPr>
                <w:b/>
                <w:sz w:val="20"/>
              </w:rPr>
              <w:t>Effective date</w:t>
            </w:r>
          </w:p>
        </w:tc>
        <w:tc>
          <w:tcPr>
            <w:tcW w:type="dxa" w:w="5184"/>
          </w:tcPr>
          <w:p>
            <w:r>
              <w:rPr>
                <w:sz w:val="20"/>
              </w:rPr>
              <w:t>2026-07-28</w:t>
            </w:r>
          </w:p>
        </w:tc>
      </w:tr>
      <w:tr>
        <w:tc>
          <w:tcPr>
            <w:tcW w:type="dxa" w:w="2736"/>
            <w:shd w:val="clear" w:fill="EEF3F8"/>
          </w:tcPr>
          <w:p>
            <w:r>
              <w:rPr>
                <w:b/>
                <w:sz w:val="20"/>
              </w:rPr>
              <w:t>Classification</w:t>
            </w:r>
          </w:p>
        </w:tc>
        <w:tc>
          <w:tcPr>
            <w:tcW w:type="dxa" w:w="5184"/>
          </w:tcPr>
          <w:p>
            <w:r>
              <w:rPr>
                <w:sz w:val="20"/>
              </w:rPr>
              <w:t>Internal</w:t>
            </w:r>
          </w:p>
        </w:tc>
      </w:tr>
      <w:tr>
        <w:tc>
          <w:tcPr>
            <w:tcW w:type="dxa" w:w="2736"/>
            <w:shd w:val="clear" w:fill="EEF3F8"/>
          </w:tcPr>
          <w:p>
            <w:r>
              <w:rPr>
                <w:b/>
                <w:sz w:val="20"/>
              </w:rPr>
              <w:t>Owner</w:t>
            </w:r>
          </w:p>
        </w:tc>
        <w:tc>
          <w:tcPr>
            <w:tcW w:type="dxa" w:w="5184"/>
          </w:tcPr>
          <w:p>
            <w:r>
              <w:rPr>
                <w:sz w:val="20"/>
              </w:rPr>
              <w:t>Chief Executive Officer, AGT</w:t>
            </w:r>
          </w:p>
        </w:tc>
      </w:tr>
      <w:tr>
        <w:tc>
          <w:tcPr>
            <w:tcW w:type="dxa" w:w="2736"/>
            <w:shd w:val="clear" w:fill="EEF3F8"/>
          </w:tcPr>
          <w:p>
            <w:r>
              <w:rPr>
                <w:b/>
                <w:sz w:val="20"/>
              </w:rPr>
              <w:t>Approved by</w:t>
            </w:r>
          </w:p>
        </w:tc>
        <w:tc>
          <w:tcPr>
            <w:tcW w:type="dxa" w:w="5184"/>
          </w:tcPr>
          <w:p>
            <w:r>
              <w:rPr>
                <w:sz w:val="20"/>
              </w:rPr>
              <w:t>Imran Siddiqui</w:t>
            </w:r>
          </w:p>
        </w:tc>
      </w:tr>
      <w:tr>
        <w:tc>
          <w:tcPr>
            <w:tcW w:type="dxa" w:w="2736"/>
            <w:shd w:val="clear" w:fill="EEF3F8"/>
          </w:tcPr>
          <w:p>
            <w:r>
              <w:rPr>
                <w:b/>
                <w:sz w:val="20"/>
              </w:rPr>
              <w:t>Review cycle</w:t>
            </w:r>
          </w:p>
        </w:tc>
        <w:tc>
          <w:tcPr>
            <w:tcW w:type="dxa" w:w="5184"/>
          </w:tcPr>
          <w:p>
            <w:r>
              <w:rPr>
                <w:sz w:val="20"/>
              </w:rPr>
              <w:t>Annual, or on material change</w:t>
            </w:r>
          </w:p>
        </w:tc>
      </w:tr>
    </w:tbl>
    <w:p>
      <w:r>
        <w:br w:type="page"/>
      </w:r>
    </w:p>
    <w:p>
      <w:pPr>
        <w:pStyle w:val="Heading1"/>
      </w:pPr>
      <w:r>
        <w:t>1. Purpose</w:t>
      </w:r>
    </w:p>
    <w:p>
      <w:r>
        <w:t>This policy defines approved cryptography and the lifecycle of the keys that make it meaningful. Correct algorithm selection is the easy part; nearly all real cryptographic failures are key management failures - a key in source control, a key that was never rotated, or a key whose compromise nobody would detect.</w:t>
      </w:r>
    </w:p>
    <w:p>
      <w:pPr>
        <w:pStyle w:val="Heading1"/>
      </w:pPr>
      <w:r>
        <w:t>2. Scope</w:t>
      </w:r>
    </w:p>
    <w:p>
      <w:r>
        <w:t>This policy applies to all Alliance Global Tech Inc. (AGT) personnel, contractors, and third parties who access, operate, or support the DocuAction TEFCA ARC platform or its supporting Azure infrastructure. It covers production, development, and any environment holding customer data, protected health information (PHI), or controlled unclassified information (CUI).</w:t>
      </w:r>
    </w:p>
    <w:p>
      <w:pPr>
        <w:pStyle w:val="Heading2"/>
      </w:pPr>
      <w:r>
        <w:t>System context</w:t>
      </w:r>
    </w:p>
    <w:p>
      <w:r>
        <w:t>This document applies to DocuAction TEFCA ARC, operated by Alliance Global Tech Inc. on Microsoft Azure. The control descriptions in this document are written against the following implementation, not against a generic reference architecture.</w:t>
      </w:r>
    </w:p>
    <w:tbl>
      <w:tblPr>
        <w:tblStyle w:val="TableGrid"/>
        <w:tblW w:type="auto" w:w="0"/>
        <w:tblLook w:firstColumn="1" w:firstRow="1" w:lastColumn="0" w:lastRow="0" w:noHBand="0" w:noVBand="1" w:val="04A0"/>
      </w:tblPr>
      <w:tblGrid>
        <w:gridCol w:w="4680"/>
        <w:gridCol w:w="4680"/>
      </w:tblGrid>
      <w:tr>
        <w:tc>
          <w:tcPr>
            <w:tcW w:type="dxa" w:w="2592"/>
            <w:shd w:val="clear" w:fill="0F2B4C"/>
          </w:tcPr>
          <w:p>
            <w:r>
              <w:rPr>
                <w:b/>
                <w:color w:val="FFFFFF"/>
                <w:sz w:val="18"/>
              </w:rPr>
              <w:t>Layer</w:t>
            </w:r>
          </w:p>
        </w:tc>
        <w:tc>
          <w:tcPr>
            <w:tcW w:type="dxa" w:w="6336"/>
            <w:shd w:val="clear" w:fill="0F2B4C"/>
          </w:tcPr>
          <w:p>
            <w:r>
              <w:rPr>
                <w:b/>
                <w:color w:val="FFFFFF"/>
                <w:sz w:val="18"/>
              </w:rPr>
              <w:t>Implementation</w:t>
            </w:r>
          </w:p>
        </w:tc>
      </w:tr>
      <w:tr>
        <w:tc>
          <w:tcPr>
            <w:tcW w:type="dxa" w:w="2592"/>
          </w:tcPr>
          <w:p>
            <w:r>
              <w:rPr>
                <w:sz w:val="18"/>
              </w:rPr>
              <w:t>Frontend</w:t>
            </w:r>
          </w:p>
        </w:tc>
        <w:tc>
          <w:tcPr>
            <w:tcW w:type="dxa" w:w="6336"/>
          </w:tcPr>
          <w:p>
            <w:r>
              <w:rPr>
                <w:sz w:val="18"/>
              </w:rPr>
              <w:t>Next.js 14 (React), static export, Azure Static Web Apps</w:t>
            </w:r>
          </w:p>
        </w:tc>
      </w:tr>
      <w:tr>
        <w:tc>
          <w:tcPr>
            <w:tcW w:type="dxa" w:w="2592"/>
          </w:tcPr>
          <w:p>
            <w:r>
              <w:rPr>
                <w:sz w:val="18"/>
              </w:rPr>
              <w:t>Backend</w:t>
            </w:r>
          </w:p>
        </w:tc>
        <w:tc>
          <w:tcPr>
            <w:tcW w:type="dxa" w:w="6336"/>
          </w:tcPr>
          <w:p>
            <w:r>
              <w:rPr>
                <w:sz w:val="18"/>
              </w:rPr>
              <w:t>FastAPI on Python 3.12, Azure App Service (Linux)</w:t>
            </w:r>
          </w:p>
        </w:tc>
      </w:tr>
      <w:tr>
        <w:tc>
          <w:tcPr>
            <w:tcW w:type="dxa" w:w="2592"/>
          </w:tcPr>
          <w:p>
            <w:r>
              <w:rPr>
                <w:sz w:val="18"/>
              </w:rPr>
              <w:t>Database</w:t>
            </w:r>
          </w:p>
        </w:tc>
        <w:tc>
          <w:tcPr>
            <w:tcW w:type="dxa" w:w="6336"/>
          </w:tcPr>
          <w:p>
            <w:r>
              <w:rPr>
                <w:sz w:val="18"/>
              </w:rPr>
              <w:t>Azure Database for PostgreSQL - Flexible Server, geo-redundant</w:t>
            </w:r>
          </w:p>
        </w:tc>
      </w:tr>
      <w:tr>
        <w:tc>
          <w:tcPr>
            <w:tcW w:type="dxa" w:w="2592"/>
          </w:tcPr>
          <w:p>
            <w:r>
              <w:rPr>
                <w:sz w:val="18"/>
              </w:rPr>
              <w:t>Identity</w:t>
            </w:r>
          </w:p>
        </w:tc>
        <w:tc>
          <w:tcPr>
            <w:tcW w:type="dxa" w:w="6336"/>
          </w:tcPr>
          <w:p>
            <w:r>
              <w:rPr>
                <w:sz w:val="18"/>
              </w:rPr>
              <w:t>Microsoft Entra ID; OAuth 2.0, OIDC, JWT bearer, RBAC, MFA</w:t>
            </w:r>
          </w:p>
        </w:tc>
      </w:tr>
      <w:tr>
        <w:tc>
          <w:tcPr>
            <w:tcW w:type="dxa" w:w="2592"/>
          </w:tcPr>
          <w:p>
            <w:r>
              <w:rPr>
                <w:sz w:val="18"/>
              </w:rPr>
              <w:t>Secrets</w:t>
            </w:r>
          </w:p>
        </w:tc>
        <w:tc>
          <w:tcPr>
            <w:tcW w:type="dxa" w:w="6336"/>
          </w:tcPr>
          <w:p>
            <w:r>
              <w:rPr>
                <w:sz w:val="18"/>
              </w:rPr>
              <w:t>Azure Key Vault, resolved at runtime by system-assigned managed identity</w:t>
            </w:r>
          </w:p>
        </w:tc>
      </w:tr>
      <w:tr>
        <w:tc>
          <w:tcPr>
            <w:tcW w:type="dxa" w:w="2592"/>
          </w:tcPr>
          <w:p>
            <w:r>
              <w:rPr>
                <w:sz w:val="18"/>
              </w:rPr>
              <w:t>Monitoring</w:t>
            </w:r>
          </w:p>
        </w:tc>
        <w:tc>
          <w:tcPr>
            <w:tcW w:type="dxa" w:w="6336"/>
          </w:tcPr>
          <w:p>
            <w:r>
              <w:rPr>
                <w:sz w:val="18"/>
              </w:rPr>
              <w:t>Azure Monitor and Application Insights</w:t>
            </w:r>
          </w:p>
        </w:tc>
      </w:tr>
      <w:tr>
        <w:tc>
          <w:tcPr>
            <w:tcW w:type="dxa" w:w="2592"/>
          </w:tcPr>
          <w:p>
            <w:r>
              <w:rPr>
                <w:sz w:val="18"/>
              </w:rPr>
              <w:t>Healthcare standards</w:t>
            </w:r>
          </w:p>
        </w:tc>
        <w:tc>
          <w:tcPr>
            <w:tcW w:type="dxa" w:w="6336"/>
          </w:tcPr>
          <w:p>
            <w:r>
              <w:rPr>
                <w:sz w:val="18"/>
              </w:rPr>
              <w:t>FHIR R4, HL7, TEFCA Common Agreement / RCE IG v1.14.0</w:t>
            </w:r>
          </w:p>
        </w:tc>
      </w:tr>
      <w:tr>
        <w:tc>
          <w:tcPr>
            <w:tcW w:type="dxa" w:w="2592"/>
          </w:tcPr>
          <w:p>
            <w:r>
              <w:rPr>
                <w:sz w:val="18"/>
              </w:rPr>
              <w:t>Certifications</w:t>
            </w:r>
          </w:p>
        </w:tc>
        <w:tc>
          <w:tcPr>
            <w:tcW w:type="dxa" w:w="6336"/>
          </w:tcPr>
          <w:p>
            <w:r>
              <w:rPr>
                <w:sz w:val="18"/>
              </w:rPr>
              <w:t>CMMI Level 3, ISO 27001, ISO 9001, ISO 20000-1, DoD Final Contractor</w:t>
            </w:r>
          </w:p>
        </w:tc>
      </w:tr>
    </w:tbl>
    <w:p/>
    <w:p>
      <w:pPr>
        <w:pStyle w:val="Heading2"/>
      </w:pPr>
      <w:r>
        <w:t>Definitions</w:t>
      </w:r>
    </w:p>
    <w:tbl>
      <w:tblPr>
        <w:tblStyle w:val="TableGrid"/>
        <w:tblW w:type="auto" w:w="0"/>
        <w:tblLook w:firstColumn="1" w:firstRow="1" w:lastColumn="0" w:lastRow="0" w:noHBand="0" w:noVBand="1" w:val="04A0"/>
      </w:tblPr>
      <w:tblGrid>
        <w:gridCol w:w="4680"/>
        <w:gridCol w:w="4680"/>
      </w:tblGrid>
      <w:tr>
        <w:tc>
          <w:tcPr>
            <w:tcW w:type="dxa" w:w="2160"/>
            <w:shd w:val="clear" w:fill="0F2B4C"/>
          </w:tcPr>
          <w:p>
            <w:r>
              <w:rPr>
                <w:b/>
                <w:color w:val="FFFFFF"/>
                <w:sz w:val="18"/>
              </w:rPr>
              <w:t>Term</w:t>
            </w:r>
          </w:p>
        </w:tc>
        <w:tc>
          <w:tcPr>
            <w:tcW w:type="dxa" w:w="6768"/>
            <w:shd w:val="clear" w:fill="0F2B4C"/>
          </w:tcPr>
          <w:p>
            <w:r>
              <w:rPr>
                <w:b/>
                <w:color w:val="FFFFFF"/>
                <w:sz w:val="18"/>
              </w:rPr>
              <w:t>Definition</w:t>
            </w:r>
          </w:p>
        </w:tc>
      </w:tr>
      <w:tr>
        <w:tc>
          <w:tcPr>
            <w:tcW w:type="dxa" w:w="2160"/>
          </w:tcPr>
          <w:p>
            <w:r>
              <w:rPr>
                <w:sz w:val="18"/>
              </w:rPr>
              <w:t>Key Vault</w:t>
            </w:r>
          </w:p>
        </w:tc>
        <w:tc>
          <w:tcPr>
            <w:tcW w:type="dxa" w:w="6768"/>
          </w:tcPr>
          <w:p>
            <w:r>
              <w:rPr>
                <w:sz w:val="18"/>
              </w:rPr>
              <w:t>Azure Key Vault; AGT's managed secret and key store.</w:t>
            </w:r>
          </w:p>
        </w:tc>
      </w:tr>
      <w:tr>
        <w:tc>
          <w:tcPr>
            <w:tcW w:type="dxa" w:w="2160"/>
          </w:tcPr>
          <w:p>
            <w:r>
              <w:rPr>
                <w:sz w:val="18"/>
              </w:rPr>
              <w:t>Managed identity</w:t>
            </w:r>
          </w:p>
        </w:tc>
        <w:tc>
          <w:tcPr>
            <w:tcW w:type="dxa" w:w="6768"/>
          </w:tcPr>
          <w:p>
            <w:r>
              <w:rPr>
                <w:sz w:val="18"/>
              </w:rPr>
              <w:t>An Azure-issued identity used to authenticate to Key Vault without a stored secret.</w:t>
            </w:r>
          </w:p>
        </w:tc>
      </w:tr>
      <w:tr>
        <w:tc>
          <w:tcPr>
            <w:tcW w:type="dxa" w:w="2160"/>
          </w:tcPr>
          <w:p>
            <w:r>
              <w:rPr>
                <w:sz w:val="18"/>
              </w:rPr>
              <w:t>Key rotation</w:t>
            </w:r>
          </w:p>
        </w:tc>
        <w:tc>
          <w:tcPr>
            <w:tcW w:type="dxa" w:w="6768"/>
          </w:tcPr>
          <w:p>
            <w:r>
              <w:rPr>
                <w:sz w:val="18"/>
              </w:rPr>
              <w:t>Replacing a key with a new one and retiring the old.</w:t>
            </w:r>
          </w:p>
        </w:tc>
      </w:tr>
      <w:tr>
        <w:tc>
          <w:tcPr>
            <w:tcW w:type="dxa" w:w="2160"/>
          </w:tcPr>
          <w:p>
            <w:r>
              <w:rPr>
                <w:sz w:val="18"/>
              </w:rPr>
              <w:t>Cryptographic erase</w:t>
            </w:r>
          </w:p>
        </w:tc>
        <w:tc>
          <w:tcPr>
            <w:tcW w:type="dxa" w:w="6768"/>
          </w:tcPr>
          <w:p>
            <w:r>
              <w:rPr>
                <w:sz w:val="18"/>
              </w:rPr>
              <w:t>Rendering data unrecoverable by destroying its encryption key.</w:t>
            </w:r>
          </w:p>
        </w:tc>
      </w:tr>
    </w:tbl>
    <w:p/>
    <w:p>
      <w:pPr>
        <w:pStyle w:val="Heading1"/>
      </w:pPr>
      <w:r>
        <w:t>3. Approved algorithms</w:t>
      </w:r>
    </w:p>
    <w:tbl>
      <w:tblPr>
        <w:tblStyle w:val="TableGrid"/>
        <w:tblW w:type="auto" w:w="0"/>
        <w:tblLook w:firstColumn="1" w:firstRow="1" w:lastColumn="0" w:lastRow="0" w:noHBand="0" w:noVBand="1" w:val="04A0"/>
      </w:tblPr>
      <w:tblGrid>
        <w:gridCol w:w="2340"/>
        <w:gridCol w:w="2340"/>
        <w:gridCol w:w="2340"/>
        <w:gridCol w:w="2340"/>
      </w:tblGrid>
      <w:tr>
        <w:tc>
          <w:tcPr>
            <w:tcW w:type="dxa" w:w="2160"/>
            <w:shd w:val="clear" w:fill="0F2B4C"/>
          </w:tcPr>
          <w:p>
            <w:r>
              <w:rPr>
                <w:b/>
                <w:color w:val="FFFFFF"/>
                <w:sz w:val="18"/>
              </w:rPr>
              <w:t>Purpose</w:t>
            </w:r>
          </w:p>
        </w:tc>
        <w:tc>
          <w:tcPr>
            <w:tcW w:type="dxa" w:w="2448"/>
            <w:shd w:val="clear" w:fill="0F2B4C"/>
          </w:tcPr>
          <w:p>
            <w:r>
              <w:rPr>
                <w:b/>
                <w:color w:val="FFFFFF"/>
                <w:sz w:val="18"/>
              </w:rPr>
              <w:t>Approved</w:t>
            </w:r>
          </w:p>
        </w:tc>
        <w:tc>
          <w:tcPr>
            <w:tcW w:type="dxa" w:w="1872"/>
            <w:shd w:val="clear" w:fill="0F2B4C"/>
          </w:tcPr>
          <w:p>
            <w:r>
              <w:rPr>
                <w:b/>
                <w:color w:val="FFFFFF"/>
                <w:sz w:val="18"/>
              </w:rPr>
              <w:t>Minimum strength</w:t>
            </w:r>
          </w:p>
        </w:tc>
        <w:tc>
          <w:tcPr>
            <w:tcW w:type="dxa" w:w="2448"/>
            <w:shd w:val="clear" w:fill="0F2B4C"/>
          </w:tcPr>
          <w:p>
            <w:r>
              <w:rPr>
                <w:b/>
                <w:color w:val="FFFFFF"/>
                <w:sz w:val="18"/>
              </w:rPr>
              <w:t>Prohibited</w:t>
            </w:r>
          </w:p>
        </w:tc>
      </w:tr>
      <w:tr>
        <w:tc>
          <w:tcPr>
            <w:tcW w:type="dxa" w:w="2160"/>
          </w:tcPr>
          <w:p>
            <w:r>
              <w:rPr>
                <w:sz w:val="18"/>
              </w:rPr>
              <w:t>Encryption at rest</w:t>
            </w:r>
          </w:p>
        </w:tc>
        <w:tc>
          <w:tcPr>
            <w:tcW w:type="dxa" w:w="2448"/>
          </w:tcPr>
          <w:p>
            <w:r>
              <w:rPr>
                <w:sz w:val="18"/>
              </w:rPr>
              <w:t>AES-GCM, AES-CBC</w:t>
            </w:r>
          </w:p>
        </w:tc>
        <w:tc>
          <w:tcPr>
            <w:tcW w:type="dxa" w:w="1872"/>
          </w:tcPr>
          <w:p>
            <w:r>
              <w:rPr>
                <w:sz w:val="18"/>
              </w:rPr>
              <w:t>AES-256</w:t>
            </w:r>
          </w:p>
        </w:tc>
        <w:tc>
          <w:tcPr>
            <w:tcW w:type="dxa" w:w="2448"/>
          </w:tcPr>
          <w:p>
            <w:r>
              <w:rPr>
                <w:sz w:val="18"/>
              </w:rPr>
              <w:t>DES, 3DES, RC4, Blowfish</w:t>
            </w:r>
          </w:p>
        </w:tc>
      </w:tr>
      <w:tr>
        <w:tc>
          <w:tcPr>
            <w:tcW w:type="dxa" w:w="2160"/>
          </w:tcPr>
          <w:p>
            <w:r>
              <w:rPr>
                <w:sz w:val="18"/>
              </w:rPr>
              <w:t>Encryption in transit</w:t>
            </w:r>
          </w:p>
        </w:tc>
        <w:tc>
          <w:tcPr>
            <w:tcW w:type="dxa" w:w="2448"/>
          </w:tcPr>
          <w:p>
            <w:r>
              <w:rPr>
                <w:sz w:val="18"/>
              </w:rPr>
              <w:t>TLS 1.2, TLS 1.3</w:t>
            </w:r>
          </w:p>
        </w:tc>
        <w:tc>
          <w:tcPr>
            <w:tcW w:type="dxa" w:w="1872"/>
          </w:tcPr>
          <w:p>
            <w:r>
              <w:rPr>
                <w:sz w:val="18"/>
              </w:rPr>
              <w:t>TLS 1.2</w:t>
            </w:r>
          </w:p>
        </w:tc>
        <w:tc>
          <w:tcPr>
            <w:tcW w:type="dxa" w:w="2448"/>
          </w:tcPr>
          <w:p>
            <w:r>
              <w:rPr>
                <w:sz w:val="18"/>
              </w:rPr>
              <w:t>SSL v2/v3, TLS 1.0, TLS 1.1</w:t>
            </w:r>
          </w:p>
        </w:tc>
      </w:tr>
      <w:tr>
        <w:tc>
          <w:tcPr>
            <w:tcW w:type="dxa" w:w="2160"/>
          </w:tcPr>
          <w:p>
            <w:r>
              <w:rPr>
                <w:sz w:val="18"/>
              </w:rPr>
              <w:t>Hashing (integrity)</w:t>
            </w:r>
          </w:p>
        </w:tc>
        <w:tc>
          <w:tcPr>
            <w:tcW w:type="dxa" w:w="2448"/>
          </w:tcPr>
          <w:p>
            <w:r>
              <w:rPr>
                <w:sz w:val="18"/>
              </w:rPr>
              <w:t>SHA-256, SHA-384, SHA-512</w:t>
            </w:r>
          </w:p>
        </w:tc>
        <w:tc>
          <w:tcPr>
            <w:tcW w:type="dxa" w:w="1872"/>
          </w:tcPr>
          <w:p>
            <w:r>
              <w:rPr>
                <w:sz w:val="18"/>
              </w:rPr>
              <w:t>SHA-256</w:t>
            </w:r>
          </w:p>
        </w:tc>
        <w:tc>
          <w:tcPr>
            <w:tcW w:type="dxa" w:w="2448"/>
          </w:tcPr>
          <w:p>
            <w:r>
              <w:rPr>
                <w:sz w:val="18"/>
              </w:rPr>
              <w:t>MD5, SHA-1</w:t>
            </w:r>
          </w:p>
        </w:tc>
      </w:tr>
      <w:tr>
        <w:tc>
          <w:tcPr>
            <w:tcW w:type="dxa" w:w="2160"/>
          </w:tcPr>
          <w:p>
            <w:r>
              <w:rPr>
                <w:sz w:val="18"/>
              </w:rPr>
              <w:t>Password storage</w:t>
            </w:r>
          </w:p>
        </w:tc>
        <w:tc>
          <w:tcPr>
            <w:tcW w:type="dxa" w:w="2448"/>
          </w:tcPr>
          <w:p>
            <w:r>
              <w:rPr>
                <w:sz w:val="18"/>
              </w:rPr>
              <w:t>bcrypt, Argon2id</w:t>
            </w:r>
          </w:p>
        </w:tc>
        <w:tc>
          <w:tcPr>
            <w:tcW w:type="dxa" w:w="1872"/>
          </w:tcPr>
          <w:p>
            <w:r>
              <w:rPr>
                <w:sz w:val="18"/>
              </w:rPr>
              <w:t>bcrypt cost 12</w:t>
            </w:r>
          </w:p>
        </w:tc>
        <w:tc>
          <w:tcPr>
            <w:tcW w:type="dxa" w:w="2448"/>
          </w:tcPr>
          <w:p>
            <w:r>
              <w:rPr>
                <w:sz w:val="18"/>
              </w:rPr>
              <w:t>Unsalted hashes, SHA-family alone</w:t>
            </w:r>
          </w:p>
        </w:tc>
      </w:tr>
      <w:tr>
        <w:tc>
          <w:tcPr>
            <w:tcW w:type="dxa" w:w="2160"/>
          </w:tcPr>
          <w:p>
            <w:r>
              <w:rPr>
                <w:sz w:val="18"/>
              </w:rPr>
              <w:t>Token signing</w:t>
            </w:r>
          </w:p>
        </w:tc>
        <w:tc>
          <w:tcPr>
            <w:tcW w:type="dxa" w:w="2448"/>
          </w:tcPr>
          <w:p>
            <w:r>
              <w:rPr>
                <w:sz w:val="18"/>
              </w:rPr>
              <w:t>HMAC-SHA256, RS256</w:t>
            </w:r>
          </w:p>
        </w:tc>
        <w:tc>
          <w:tcPr>
            <w:tcW w:type="dxa" w:w="1872"/>
          </w:tcPr>
          <w:p>
            <w:r>
              <w:rPr>
                <w:sz w:val="18"/>
              </w:rPr>
              <w:t>256-bit key</w:t>
            </w:r>
          </w:p>
        </w:tc>
        <w:tc>
          <w:tcPr>
            <w:tcW w:type="dxa" w:w="2448"/>
          </w:tcPr>
          <w:p>
            <w:r>
              <w:rPr>
                <w:sz w:val="18"/>
              </w:rPr>
              <w:t>'none' algorithm, HS256 with a short key</w:t>
            </w:r>
          </w:p>
        </w:tc>
      </w:tr>
      <w:tr>
        <w:tc>
          <w:tcPr>
            <w:tcW w:type="dxa" w:w="2160"/>
          </w:tcPr>
          <w:p>
            <w:r>
              <w:rPr>
                <w:sz w:val="18"/>
              </w:rPr>
              <w:t>Key exchange</w:t>
            </w:r>
          </w:p>
        </w:tc>
        <w:tc>
          <w:tcPr>
            <w:tcW w:type="dxa" w:w="2448"/>
          </w:tcPr>
          <w:p>
            <w:r>
              <w:rPr>
                <w:sz w:val="18"/>
              </w:rPr>
              <w:t>ECDHE, DHE</w:t>
            </w:r>
          </w:p>
        </w:tc>
        <w:tc>
          <w:tcPr>
            <w:tcW w:type="dxa" w:w="1872"/>
          </w:tcPr>
          <w:p>
            <w:r>
              <w:rPr>
                <w:sz w:val="18"/>
              </w:rPr>
              <w:t>P-256 / 2048-bit</w:t>
            </w:r>
          </w:p>
        </w:tc>
        <w:tc>
          <w:tcPr>
            <w:tcW w:type="dxa" w:w="2448"/>
          </w:tcPr>
          <w:p>
            <w:r>
              <w:rPr>
                <w:sz w:val="18"/>
              </w:rPr>
              <w:t>Static RSA key exchange</w:t>
            </w:r>
          </w:p>
        </w:tc>
      </w:tr>
      <w:tr>
        <w:tc>
          <w:tcPr>
            <w:tcW w:type="dxa" w:w="2160"/>
          </w:tcPr>
          <w:p>
            <w:r>
              <w:rPr>
                <w:sz w:val="18"/>
              </w:rPr>
              <w:t>Random generation</w:t>
            </w:r>
          </w:p>
        </w:tc>
        <w:tc>
          <w:tcPr>
            <w:tcW w:type="dxa" w:w="2448"/>
          </w:tcPr>
          <w:p>
            <w:r>
              <w:rPr>
                <w:sz w:val="18"/>
              </w:rPr>
              <w:t>OS CSPRNG</w:t>
            </w:r>
          </w:p>
        </w:tc>
        <w:tc>
          <w:tcPr>
            <w:tcW w:type="dxa" w:w="1872"/>
          </w:tcPr>
          <w:p>
            <w:r>
              <w:rPr>
                <w:sz w:val="18"/>
              </w:rPr>
              <w:t>n/a</w:t>
            </w:r>
          </w:p>
        </w:tc>
        <w:tc>
          <w:tcPr>
            <w:tcW w:type="dxa" w:w="2448"/>
          </w:tcPr>
          <w:p>
            <w:r>
              <w:rPr>
                <w:sz w:val="18"/>
              </w:rPr>
              <w:t>Language default PRNG for security purposes</w:t>
            </w:r>
          </w:p>
        </w:tc>
      </w:tr>
    </w:tbl>
    <w:p/>
    <w:p>
      <w:r>
        <w:rPr>
          <w:i/>
          <w:color w:val="5A5A5A"/>
          <w:sz w:val="19"/>
        </w:rPr>
        <w:t>A JWT signing secret shorter than the hash output undermines HMAC-SHA256 regardless of the algorithm's strength. The platform enforces a 64-character minimum on SECRET_KEY at startup and refuses to run below it.</w:t>
      </w:r>
    </w:p>
    <w:p>
      <w:pPr>
        <w:pStyle w:val="Heading1"/>
      </w:pPr>
      <w:r>
        <w:t>4. Key storage</w:t>
      </w:r>
    </w:p>
    <w:p>
      <w:r>
        <w:t>All application secrets and keys are held in Azure Key Vault and resolved at runtime by the App Service system-assigned managed identity. No key is stored in source control, in a .env file committed to a repository, in application configuration as a literal, or in a CI variable that is not a protected secret.</w:t>
      </w:r>
    </w:p>
    <w:tbl>
      <w:tblPr>
        <w:tblStyle w:val="TableGrid"/>
        <w:tblW w:type="auto" w:w="0"/>
        <w:tblLook w:firstColumn="1" w:firstRow="1" w:lastColumn="0" w:lastRow="0" w:noHBand="0" w:noVBand="1" w:val="04A0"/>
      </w:tblPr>
      <w:tblGrid>
        <w:gridCol w:w="3120"/>
        <w:gridCol w:w="3120"/>
        <w:gridCol w:w="3120"/>
      </w:tblGrid>
      <w:tr>
        <w:tc>
          <w:tcPr>
            <w:tcW w:type="dxa" w:w="2880"/>
            <w:shd w:val="clear" w:fill="0F2B4C"/>
          </w:tcPr>
          <w:p>
            <w:r>
              <w:rPr>
                <w:b/>
                <w:color w:val="FFFFFF"/>
                <w:sz w:val="18"/>
              </w:rPr>
              <w:t>Secret</w:t>
            </w:r>
          </w:p>
        </w:tc>
        <w:tc>
          <w:tcPr>
            <w:tcW w:type="dxa" w:w="3168"/>
            <w:shd w:val="clear" w:fill="0F2B4C"/>
          </w:tcPr>
          <w:p>
            <w:r>
              <w:rPr>
                <w:b/>
                <w:color w:val="FFFFFF"/>
                <w:sz w:val="18"/>
              </w:rPr>
              <w:t>Storage</w:t>
            </w:r>
          </w:p>
        </w:tc>
        <w:tc>
          <w:tcPr>
            <w:tcW w:type="dxa" w:w="2880"/>
            <w:shd w:val="clear" w:fill="0F2B4C"/>
          </w:tcPr>
          <w:p>
            <w:r>
              <w:rPr>
                <w:b/>
                <w:color w:val="FFFFFF"/>
                <w:sz w:val="18"/>
              </w:rPr>
              <w:t>Status</w:t>
            </w:r>
          </w:p>
        </w:tc>
      </w:tr>
      <w:tr>
        <w:tc>
          <w:tcPr>
            <w:tcW w:type="dxa" w:w="2880"/>
          </w:tcPr>
          <w:p>
            <w:r>
              <w:rPr>
                <w:sz w:val="18"/>
              </w:rPr>
              <w:t>SECRET_KEY (JWT signing)</w:t>
            </w:r>
          </w:p>
        </w:tc>
        <w:tc>
          <w:tcPr>
            <w:tcW w:type="dxa" w:w="3168"/>
          </w:tcPr>
          <w:p>
            <w:r>
              <w:rPr>
                <w:sz w:val="18"/>
              </w:rPr>
              <w:t>Key Vault reference</w:t>
            </w:r>
          </w:p>
        </w:tc>
        <w:tc>
          <w:tcPr>
            <w:tcW w:type="dxa" w:w="2880"/>
          </w:tcPr>
          <w:p>
            <w:r>
              <w:rPr>
                <w:sz w:val="18"/>
              </w:rPr>
              <w:t>Implemented</w:t>
            </w:r>
          </w:p>
        </w:tc>
      </w:tr>
      <w:tr>
        <w:tc>
          <w:tcPr>
            <w:tcW w:type="dxa" w:w="2880"/>
          </w:tcPr>
          <w:p>
            <w:r>
              <w:rPr>
                <w:sz w:val="18"/>
              </w:rPr>
              <w:t>ANTHROPIC_API_KEY</w:t>
            </w:r>
          </w:p>
        </w:tc>
        <w:tc>
          <w:tcPr>
            <w:tcW w:type="dxa" w:w="3168"/>
          </w:tcPr>
          <w:p>
            <w:r>
              <w:rPr>
                <w:sz w:val="18"/>
              </w:rPr>
              <w:t>Key Vault reference</w:t>
            </w:r>
          </w:p>
        </w:tc>
        <w:tc>
          <w:tcPr>
            <w:tcW w:type="dxa" w:w="2880"/>
          </w:tcPr>
          <w:p>
            <w:r>
              <w:rPr>
                <w:sz w:val="18"/>
              </w:rPr>
              <w:t>Implemented</w:t>
            </w:r>
          </w:p>
        </w:tc>
      </w:tr>
      <w:tr>
        <w:tc>
          <w:tcPr>
            <w:tcW w:type="dxa" w:w="2880"/>
          </w:tcPr>
          <w:p>
            <w:r>
              <w:rPr>
                <w:sz w:val="18"/>
              </w:rPr>
              <w:t>AZURE_AD_CLIENT_SECRET</w:t>
            </w:r>
          </w:p>
        </w:tc>
        <w:tc>
          <w:tcPr>
            <w:tcW w:type="dxa" w:w="3168"/>
          </w:tcPr>
          <w:p>
            <w:r>
              <w:rPr>
                <w:sz w:val="18"/>
              </w:rPr>
              <w:t>Key Vault reference</w:t>
            </w:r>
          </w:p>
        </w:tc>
        <w:tc>
          <w:tcPr>
            <w:tcW w:type="dxa" w:w="2880"/>
          </w:tcPr>
          <w:p>
            <w:r>
              <w:rPr>
                <w:sz w:val="18"/>
              </w:rPr>
              <w:t>Implemented</w:t>
            </w:r>
          </w:p>
        </w:tc>
      </w:tr>
      <w:tr>
        <w:tc>
          <w:tcPr>
            <w:tcW w:type="dxa" w:w="2880"/>
          </w:tcPr>
          <w:p>
            <w:r>
              <w:rPr>
                <w:sz w:val="18"/>
              </w:rPr>
              <w:t>SENDGRID_API_KEY</w:t>
            </w:r>
          </w:p>
        </w:tc>
        <w:tc>
          <w:tcPr>
            <w:tcW w:type="dxa" w:w="3168"/>
          </w:tcPr>
          <w:p>
            <w:r>
              <w:rPr>
                <w:sz w:val="18"/>
              </w:rPr>
              <w:t>Key Vault reference</w:t>
            </w:r>
          </w:p>
        </w:tc>
        <w:tc>
          <w:tcPr>
            <w:tcW w:type="dxa" w:w="2880"/>
          </w:tcPr>
          <w:p>
            <w:r>
              <w:rPr>
                <w:sz w:val="18"/>
              </w:rPr>
              <w:t>Implemented</w:t>
            </w:r>
          </w:p>
        </w:tc>
      </w:tr>
      <w:tr>
        <w:tc>
          <w:tcPr>
            <w:tcW w:type="dxa" w:w="2880"/>
          </w:tcPr>
          <w:p>
            <w:r>
              <w:rPr>
                <w:sz w:val="18"/>
              </w:rPr>
              <w:t>DATABASE_URL</w:t>
            </w:r>
          </w:p>
        </w:tc>
        <w:tc>
          <w:tcPr>
            <w:tcW w:type="dxa" w:w="3168"/>
          </w:tcPr>
          <w:p>
            <w:r>
              <w:rPr>
                <w:sz w:val="18"/>
              </w:rPr>
              <w:t>App Service configuration literal</w:t>
            </w:r>
          </w:p>
        </w:tc>
        <w:tc>
          <w:tcPr>
            <w:tcW w:type="dxa" w:w="2880"/>
          </w:tcPr>
          <w:p>
            <w:r>
              <w:rPr>
                <w:sz w:val="18"/>
              </w:rPr>
              <w:t>Open finding - see POA&amp;M</w:t>
            </w:r>
          </w:p>
        </w:tc>
      </w:tr>
    </w:tbl>
    <w:p/>
    <w:p>
      <w:r>
        <w:t>The failure mode of a Key Vault reference deserves specific attention. An unresolved reference is delivered to the application as the literal string @Microsoft.KeyVault(VaultName=...;SecretName=...), which is roughly 71 characters - long enough to satisfy a naive length check on a signing key. Verification of a reference must therefore confirm the application is serving correctly, not merely that it started.</w:t>
      </w:r>
    </w:p>
    <w:p>
      <w:pPr>
        <w:pStyle w:val="Heading1"/>
      </w:pPr>
      <w:r>
        <w:t>5. Key lifecycle</w:t>
      </w:r>
    </w:p>
    <w:tbl>
      <w:tblPr>
        <w:tblStyle w:val="TableGrid"/>
        <w:tblW w:type="auto" w:w="0"/>
        <w:tblLook w:firstColumn="1" w:firstRow="1" w:lastColumn="0" w:lastRow="0" w:noHBand="0" w:noVBand="1" w:val="04A0"/>
      </w:tblPr>
      <w:tblGrid>
        <w:gridCol w:w="4680"/>
        <w:gridCol w:w="4680"/>
      </w:tblGrid>
      <w:tr>
        <w:tc>
          <w:tcPr>
            <w:tcW w:type="dxa" w:w="1872"/>
            <w:shd w:val="clear" w:fill="0F2B4C"/>
          </w:tcPr>
          <w:p>
            <w:r>
              <w:rPr>
                <w:b/>
                <w:color w:val="FFFFFF"/>
                <w:sz w:val="18"/>
              </w:rPr>
              <w:t>Stage</w:t>
            </w:r>
          </w:p>
        </w:tc>
        <w:tc>
          <w:tcPr>
            <w:tcW w:type="dxa" w:w="7056"/>
            <w:shd w:val="clear" w:fill="0F2B4C"/>
          </w:tcPr>
          <w:p>
            <w:r>
              <w:rPr>
                <w:b/>
                <w:color w:val="FFFFFF"/>
                <w:sz w:val="18"/>
              </w:rPr>
              <w:t>Requirement</w:t>
            </w:r>
          </w:p>
        </w:tc>
      </w:tr>
      <w:tr>
        <w:tc>
          <w:tcPr>
            <w:tcW w:type="dxa" w:w="1872"/>
          </w:tcPr>
          <w:p>
            <w:r>
              <w:rPr>
                <w:sz w:val="18"/>
              </w:rPr>
              <w:t>Generation</w:t>
            </w:r>
          </w:p>
        </w:tc>
        <w:tc>
          <w:tcPr>
            <w:tcW w:type="dxa" w:w="7056"/>
          </w:tcPr>
          <w:p>
            <w:r>
              <w:rPr>
                <w:sz w:val="18"/>
              </w:rPr>
              <w:t>Generated by Key Vault or an OS CSPRNG; never derived from a passphrase.</w:t>
            </w:r>
          </w:p>
        </w:tc>
      </w:tr>
      <w:tr>
        <w:tc>
          <w:tcPr>
            <w:tcW w:type="dxa" w:w="1872"/>
          </w:tcPr>
          <w:p>
            <w:r>
              <w:rPr>
                <w:sz w:val="18"/>
              </w:rPr>
              <w:t>Distribution</w:t>
            </w:r>
          </w:p>
        </w:tc>
        <w:tc>
          <w:tcPr>
            <w:tcW w:type="dxa" w:w="7056"/>
          </w:tcPr>
          <w:p>
            <w:r>
              <w:rPr>
                <w:sz w:val="18"/>
              </w:rPr>
              <w:t>Never distributed. Access is granted to an identity, not handed to a person.</w:t>
            </w:r>
          </w:p>
        </w:tc>
      </w:tr>
      <w:tr>
        <w:tc>
          <w:tcPr>
            <w:tcW w:type="dxa" w:w="1872"/>
          </w:tcPr>
          <w:p>
            <w:r>
              <w:rPr>
                <w:sz w:val="18"/>
              </w:rPr>
              <w:t>Storage</w:t>
            </w:r>
          </w:p>
        </w:tc>
        <w:tc>
          <w:tcPr>
            <w:tcW w:type="dxa" w:w="7056"/>
          </w:tcPr>
          <w:p>
            <w:r>
              <w:rPr>
                <w:sz w:val="18"/>
              </w:rPr>
              <w:t>Key Vault, HSM-backed where the key protects Restricted data.</w:t>
            </w:r>
          </w:p>
        </w:tc>
      </w:tr>
      <w:tr>
        <w:tc>
          <w:tcPr>
            <w:tcW w:type="dxa" w:w="1872"/>
          </w:tcPr>
          <w:p>
            <w:r>
              <w:rPr>
                <w:sz w:val="18"/>
              </w:rPr>
              <w:t>Use</w:t>
            </w:r>
          </w:p>
        </w:tc>
        <w:tc>
          <w:tcPr>
            <w:tcW w:type="dxa" w:w="7056"/>
          </w:tcPr>
          <w:p>
            <w:r>
              <w:rPr>
                <w:sz w:val="18"/>
              </w:rPr>
              <w:t>Retrieved at runtime by managed identity; never logged, never echoed in errors.</w:t>
            </w:r>
          </w:p>
        </w:tc>
      </w:tr>
      <w:tr>
        <w:tc>
          <w:tcPr>
            <w:tcW w:type="dxa" w:w="1872"/>
          </w:tcPr>
          <w:p>
            <w:r>
              <w:rPr>
                <w:sz w:val="18"/>
              </w:rPr>
              <w:t>Rotation</w:t>
            </w:r>
          </w:p>
        </w:tc>
        <w:tc>
          <w:tcPr>
            <w:tcW w:type="dxa" w:w="7056"/>
          </w:tcPr>
          <w:p>
            <w:r>
              <w:rPr>
                <w:sz w:val="18"/>
              </w:rPr>
              <w:t>Per the schedule in section 6, and immediately on suspected compromise.</w:t>
            </w:r>
          </w:p>
        </w:tc>
      </w:tr>
      <w:tr>
        <w:tc>
          <w:tcPr>
            <w:tcW w:type="dxa" w:w="1872"/>
          </w:tcPr>
          <w:p>
            <w:r>
              <w:rPr>
                <w:sz w:val="18"/>
              </w:rPr>
              <w:t>Revocation</w:t>
            </w:r>
          </w:p>
        </w:tc>
        <w:tc>
          <w:tcPr>
            <w:tcW w:type="dxa" w:w="7056"/>
          </w:tcPr>
          <w:p>
            <w:r>
              <w:rPr>
                <w:sz w:val="18"/>
              </w:rPr>
              <w:t>Disable in Key Vault; confirm no principal retains a cached copy.</w:t>
            </w:r>
          </w:p>
        </w:tc>
      </w:tr>
      <w:tr>
        <w:tc>
          <w:tcPr>
            <w:tcW w:type="dxa" w:w="1872"/>
          </w:tcPr>
          <w:p>
            <w:r>
              <w:rPr>
                <w:sz w:val="18"/>
              </w:rPr>
              <w:t>Destruction</w:t>
            </w:r>
          </w:p>
        </w:tc>
        <w:tc>
          <w:tcPr>
            <w:tcW w:type="dxa" w:w="7056"/>
          </w:tcPr>
          <w:p>
            <w:r>
              <w:rPr>
                <w:sz w:val="18"/>
              </w:rPr>
              <w:t>Purge-protected soft delete for the retention window, then purge.</w:t>
            </w:r>
          </w:p>
        </w:tc>
      </w:tr>
    </w:tbl>
    <w:p/>
    <w:p>
      <w:pPr>
        <w:pStyle w:val="Heading1"/>
      </w:pPr>
      <w:r>
        <w:t>6. Rotation schedule</w:t>
      </w:r>
    </w:p>
    <w:tbl>
      <w:tblPr>
        <w:tblStyle w:val="TableGrid"/>
        <w:tblW w:type="auto" w:w="0"/>
        <w:tblLook w:firstColumn="1" w:firstRow="1" w:lastColumn="0" w:lastRow="0" w:noHBand="0" w:noVBand="1" w:val="04A0"/>
      </w:tblPr>
      <w:tblGrid>
        <w:gridCol w:w="3120"/>
        <w:gridCol w:w="3120"/>
        <w:gridCol w:w="3120"/>
      </w:tblGrid>
      <w:tr>
        <w:tc>
          <w:tcPr>
            <w:tcW w:type="dxa" w:w="2880"/>
            <w:shd w:val="clear" w:fill="0F2B4C"/>
          </w:tcPr>
          <w:p>
            <w:r>
              <w:rPr>
                <w:b/>
                <w:color w:val="FFFFFF"/>
                <w:sz w:val="18"/>
              </w:rPr>
              <w:t>Key or secret</w:t>
            </w:r>
          </w:p>
        </w:tc>
        <w:tc>
          <w:tcPr>
            <w:tcW w:type="dxa" w:w="2160"/>
            <w:shd w:val="clear" w:fill="0F2B4C"/>
          </w:tcPr>
          <w:p>
            <w:r>
              <w:rPr>
                <w:b/>
                <w:color w:val="FFFFFF"/>
                <w:sz w:val="18"/>
              </w:rPr>
              <w:t>Rotation</w:t>
            </w:r>
          </w:p>
        </w:tc>
        <w:tc>
          <w:tcPr>
            <w:tcW w:type="dxa" w:w="3888"/>
            <w:shd w:val="clear" w:fill="0F2B4C"/>
          </w:tcPr>
          <w:p>
            <w:r>
              <w:rPr>
                <w:b/>
                <w:color w:val="FFFFFF"/>
                <w:sz w:val="18"/>
              </w:rPr>
              <w:t>Trigger for immediate rotation</w:t>
            </w:r>
          </w:p>
        </w:tc>
      </w:tr>
      <w:tr>
        <w:tc>
          <w:tcPr>
            <w:tcW w:type="dxa" w:w="2880"/>
          </w:tcPr>
          <w:p>
            <w:r>
              <w:rPr>
                <w:sz w:val="18"/>
              </w:rPr>
              <w:t>JWT signing key (SECRET_KEY)</w:t>
            </w:r>
          </w:p>
        </w:tc>
        <w:tc>
          <w:tcPr>
            <w:tcW w:type="dxa" w:w="2160"/>
          </w:tcPr>
          <w:p>
            <w:r>
              <w:rPr>
                <w:sz w:val="18"/>
              </w:rPr>
              <w:t>Annually</w:t>
            </w:r>
          </w:p>
        </w:tc>
        <w:tc>
          <w:tcPr>
            <w:tcW w:type="dxa" w:w="3888"/>
          </w:tcPr>
          <w:p>
            <w:r>
              <w:rPr>
                <w:sz w:val="18"/>
              </w:rPr>
              <w:t>Suspected exposure; personnel departure with access</w:t>
            </w:r>
          </w:p>
        </w:tc>
      </w:tr>
      <w:tr>
        <w:tc>
          <w:tcPr>
            <w:tcW w:type="dxa" w:w="2880"/>
          </w:tcPr>
          <w:p>
            <w:r>
              <w:rPr>
                <w:sz w:val="18"/>
              </w:rPr>
              <w:t>Database credentials</w:t>
            </w:r>
          </w:p>
        </w:tc>
        <w:tc>
          <w:tcPr>
            <w:tcW w:type="dxa" w:w="2160"/>
          </w:tcPr>
          <w:p>
            <w:r>
              <w:rPr>
                <w:sz w:val="18"/>
              </w:rPr>
              <w:t>Annually</w:t>
            </w:r>
          </w:p>
        </w:tc>
        <w:tc>
          <w:tcPr>
            <w:tcW w:type="dxa" w:w="3888"/>
          </w:tcPr>
          <w:p>
            <w:r>
              <w:rPr>
                <w:sz w:val="18"/>
              </w:rPr>
              <w:t>Exposure in a log, ticket, or repository</w:t>
            </w:r>
          </w:p>
        </w:tc>
      </w:tr>
      <w:tr>
        <w:tc>
          <w:tcPr>
            <w:tcW w:type="dxa" w:w="2880"/>
          </w:tcPr>
          <w:p>
            <w:r>
              <w:rPr>
                <w:sz w:val="18"/>
              </w:rPr>
              <w:t>Third-party API keys</w:t>
            </w:r>
          </w:p>
        </w:tc>
        <w:tc>
          <w:tcPr>
            <w:tcW w:type="dxa" w:w="2160"/>
          </w:tcPr>
          <w:p>
            <w:r>
              <w:rPr>
                <w:sz w:val="18"/>
              </w:rPr>
              <w:t>Annually</w:t>
            </w:r>
          </w:p>
        </w:tc>
        <w:tc>
          <w:tcPr>
            <w:tcW w:type="dxa" w:w="3888"/>
          </w:tcPr>
          <w:p>
            <w:r>
              <w:rPr>
                <w:sz w:val="18"/>
              </w:rPr>
              <w:t>Vendor breach notification; key seen in plaintext</w:t>
            </w:r>
          </w:p>
        </w:tc>
      </w:tr>
      <w:tr>
        <w:tc>
          <w:tcPr>
            <w:tcW w:type="dxa" w:w="2880"/>
          </w:tcPr>
          <w:p>
            <w:r>
              <w:rPr>
                <w:sz w:val="18"/>
              </w:rPr>
              <w:t>Azure service principal credentials</w:t>
            </w:r>
          </w:p>
        </w:tc>
        <w:tc>
          <w:tcPr>
            <w:tcW w:type="dxa" w:w="2160"/>
          </w:tcPr>
          <w:p>
            <w:r>
              <w:rPr>
                <w:sz w:val="18"/>
              </w:rPr>
              <w:t>Annually</w:t>
            </w:r>
          </w:p>
        </w:tc>
        <w:tc>
          <w:tcPr>
            <w:tcW w:type="dxa" w:w="3888"/>
          </w:tcPr>
          <w:p>
            <w:r>
              <w:rPr>
                <w:sz w:val="18"/>
              </w:rPr>
              <w:t>Departure of the owner; workflow log made public</w:t>
            </w:r>
          </w:p>
        </w:tc>
      </w:tr>
      <w:tr>
        <w:tc>
          <w:tcPr>
            <w:tcW w:type="dxa" w:w="2880"/>
          </w:tcPr>
          <w:p>
            <w:r>
              <w:rPr>
                <w:sz w:val="18"/>
              </w:rPr>
              <w:t>TLS certificates</w:t>
            </w:r>
          </w:p>
        </w:tc>
        <w:tc>
          <w:tcPr>
            <w:tcW w:type="dxa" w:w="2160"/>
          </w:tcPr>
          <w:p>
            <w:r>
              <w:rPr>
                <w:sz w:val="18"/>
              </w:rPr>
              <w:t>Managed by Azure, auto-renewed</w:t>
            </w:r>
          </w:p>
        </w:tc>
        <w:tc>
          <w:tcPr>
            <w:tcW w:type="dxa" w:w="3888"/>
          </w:tcPr>
          <w:p>
            <w:r>
              <w:rPr>
                <w:sz w:val="18"/>
              </w:rPr>
              <w:t>Revocation or private key exposure</w:t>
            </w:r>
          </w:p>
        </w:tc>
      </w:tr>
    </w:tbl>
    <w:p/>
    <w:p>
      <w:r>
        <w:t>Rotating the JWT signing key invalidates every token issued under the previous key, logging all users out. This is a deliberate consequence and is the intended behaviour after a suspected compromise; it should be scheduled outside business hours for routine rotation.</w:t>
      </w:r>
    </w:p>
    <w:p>
      <w:pPr>
        <w:pStyle w:val="Heading1"/>
      </w:pPr>
      <w:r>
        <w:t>7. Certificate management</w:t>
      </w:r>
    </w:p>
    <w:p>
      <w:pPr>
        <w:pStyle w:val="ListBullet"/>
      </w:pPr>
      <w:r>
        <w:t>TLS certificates for custom domains are Azure-managed and renew automatically.</w:t>
      </w:r>
    </w:p>
    <w:p>
      <w:pPr>
        <w:pStyle w:val="ListBullet"/>
      </w:pPr>
      <w:r>
        <w:t>Certificate expiry is monitored; a certificate within 30 days of expiry raises an alert (AGT-LMP-018).</w:t>
      </w:r>
    </w:p>
    <w:p>
      <w:pPr>
        <w:pStyle w:val="ListBullet"/>
      </w:pPr>
      <w:r>
        <w:t>Self-signed certificates are not permitted for any externally reachable endpoint.</w:t>
      </w:r>
    </w:p>
    <w:p>
      <w:pPr>
        <w:pStyle w:val="Heading1"/>
      </w:pPr>
      <w:r>
        <w:t>8. Known exceptions</w:t>
      </w:r>
    </w:p>
    <w:tbl>
      <w:tblPr>
        <w:tblStyle w:val="TableGrid"/>
        <w:tblW w:type="auto" w:w="0"/>
        <w:tblLook w:firstColumn="1" w:firstRow="1" w:lastColumn="0" w:lastRow="0" w:noHBand="0" w:noVBand="1" w:val="04A0"/>
      </w:tblPr>
      <w:tblGrid>
        <w:gridCol w:w="2340"/>
        <w:gridCol w:w="2340"/>
        <w:gridCol w:w="2340"/>
        <w:gridCol w:w="2340"/>
      </w:tblGrid>
      <w:tr>
        <w:tc>
          <w:tcPr>
            <w:tcW w:type="dxa" w:w="2304"/>
            <w:shd w:val="clear" w:fill="0F2B4C"/>
          </w:tcPr>
          <w:p>
            <w:r>
              <w:rPr>
                <w:b/>
                <w:color w:val="FFFFFF"/>
                <w:sz w:val="18"/>
              </w:rPr>
              <w:t>Exception</w:t>
            </w:r>
          </w:p>
        </w:tc>
        <w:tc>
          <w:tcPr>
            <w:tcW w:type="dxa" w:w="2304"/>
            <w:shd w:val="clear" w:fill="0F2B4C"/>
          </w:tcPr>
          <w:p>
            <w:r>
              <w:rPr>
                <w:b/>
                <w:color w:val="FFFFFF"/>
                <w:sz w:val="18"/>
              </w:rPr>
              <w:t>Risk</w:t>
            </w:r>
          </w:p>
        </w:tc>
        <w:tc>
          <w:tcPr>
            <w:tcW w:type="dxa" w:w="2880"/>
            <w:shd w:val="clear" w:fill="0F2B4C"/>
          </w:tcPr>
          <w:p>
            <w:r>
              <w:rPr>
                <w:b/>
                <w:color w:val="FFFFFF"/>
                <w:sz w:val="18"/>
              </w:rPr>
              <w:t>Compensating control</w:t>
            </w:r>
          </w:p>
        </w:tc>
        <w:tc>
          <w:tcPr>
            <w:tcW w:type="dxa" w:w="1440"/>
            <w:shd w:val="clear" w:fill="0F2B4C"/>
          </w:tcPr>
          <w:p>
            <w:r>
              <w:rPr>
                <w:b/>
                <w:color w:val="FFFFFF"/>
                <w:sz w:val="18"/>
              </w:rPr>
              <w:t>Target</w:t>
            </w:r>
          </w:p>
        </w:tc>
      </w:tr>
      <w:tr>
        <w:tc>
          <w:tcPr>
            <w:tcW w:type="dxa" w:w="2304"/>
          </w:tcPr>
          <w:p>
            <w:r>
              <w:rPr>
                <w:sz w:val="18"/>
              </w:rPr>
              <w:t>DATABASE_URL held as a literal</w:t>
            </w:r>
          </w:p>
        </w:tc>
        <w:tc>
          <w:tcPr>
            <w:tcW w:type="dxa" w:w="2304"/>
          </w:tcPr>
          <w:p>
            <w:r>
              <w:rPr>
                <w:sz w:val="18"/>
              </w:rPr>
              <w:t>Anyone with Reader on the resource group can read the database password</w:t>
            </w:r>
          </w:p>
        </w:tc>
        <w:tc>
          <w:tcPr>
            <w:tcW w:type="dxa" w:w="2880"/>
          </w:tcPr>
          <w:p>
            <w:r>
              <w:rPr>
                <w:sz w:val="18"/>
              </w:rPr>
              <w:t>Reader is tightly restricted; database enforces ssl=require; access reviewed quarterly</w:t>
            </w:r>
          </w:p>
        </w:tc>
        <w:tc>
          <w:tcPr>
            <w:tcW w:type="dxa" w:w="1440"/>
          </w:tcPr>
          <w:p>
            <w:r>
              <w:rPr>
                <w:sz w:val="18"/>
              </w:rPr>
              <w:t>Next maintenance window</w:t>
            </w:r>
          </w:p>
        </w:tc>
      </w:tr>
      <w:tr>
        <w:tc>
          <w:tcPr>
            <w:tcW w:type="dxa" w:w="2304"/>
          </w:tcPr>
          <w:p>
            <w:r>
              <w:rPr>
                <w:sz w:val="18"/>
              </w:rPr>
              <w:t>Local .env contains a live API key on a developer workstation</w:t>
            </w:r>
          </w:p>
        </w:tc>
        <w:tc>
          <w:tcPr>
            <w:tcW w:type="dxa" w:w="2304"/>
          </w:tcPr>
          <w:p>
            <w:r>
              <w:rPr>
                <w:sz w:val="18"/>
              </w:rPr>
              <w:t>Credential exposure if the endpoint is compromised</w:t>
            </w:r>
          </w:p>
        </w:tc>
        <w:tc>
          <w:tcPr>
            <w:tcW w:type="dxa" w:w="2880"/>
          </w:tcPr>
          <w:p>
            <w:r>
              <w:rPr>
                <w:sz w:val="18"/>
              </w:rPr>
              <w:t>Full-disk encryption; key is non-production scope where possible</w:t>
            </w:r>
          </w:p>
        </w:tc>
        <w:tc>
          <w:tcPr>
            <w:tcW w:type="dxa" w:w="1440"/>
          </w:tcPr>
          <w:p>
            <w:r>
              <w:rPr>
                <w:sz w:val="18"/>
              </w:rPr>
              <w:t>Rotate and move to Key Vault</w:t>
            </w:r>
          </w:p>
        </w:tc>
      </w:tr>
    </w:tbl>
    <w:p/>
    <w:p>
      <w:pPr>
        <w:pStyle w:val="Heading2"/>
      </w:pPr>
      <w:r>
        <w:t>Roles and responsibilities</w:t>
      </w:r>
    </w:p>
    <w:tbl>
      <w:tblPr>
        <w:tblStyle w:val="TableGrid"/>
        <w:tblW w:type="auto" w:w="0"/>
        <w:tblLook w:firstColumn="1" w:firstRow="1" w:lastColumn="0" w:lastRow="0" w:noHBand="0" w:noVBand="1" w:val="04A0"/>
      </w:tblPr>
      <w:tblGrid>
        <w:gridCol w:w="4680"/>
        <w:gridCol w:w="4680"/>
      </w:tblGrid>
      <w:tr>
        <w:tc>
          <w:tcPr>
            <w:tcW w:type="dxa" w:w="2592"/>
            <w:shd w:val="clear" w:fill="0F2B4C"/>
          </w:tcPr>
          <w:p>
            <w:r>
              <w:rPr>
                <w:b/>
                <w:color w:val="FFFFFF"/>
                <w:sz w:val="18"/>
              </w:rPr>
              <w:t>Role</w:t>
            </w:r>
          </w:p>
        </w:tc>
        <w:tc>
          <w:tcPr>
            <w:tcW w:type="dxa" w:w="6336"/>
            <w:shd w:val="clear" w:fill="0F2B4C"/>
          </w:tcPr>
          <w:p>
            <w:r>
              <w:rPr>
                <w:b/>
                <w:color w:val="FFFFFF"/>
                <w:sz w:val="18"/>
              </w:rPr>
              <w:t>Responsibility</w:t>
            </w:r>
          </w:p>
        </w:tc>
      </w:tr>
      <w:tr>
        <w:tc>
          <w:tcPr>
            <w:tcW w:type="dxa" w:w="2592"/>
          </w:tcPr>
          <w:p>
            <w:r>
              <w:rPr>
                <w:sz w:val="18"/>
              </w:rPr>
              <w:t>Security Officer</w:t>
            </w:r>
          </w:p>
        </w:tc>
        <w:tc>
          <w:tcPr>
            <w:tcW w:type="dxa" w:w="6336"/>
          </w:tcPr>
          <w:p>
            <w:r>
              <w:rPr>
                <w:sz w:val="18"/>
              </w:rPr>
              <w:t>Owns Key Vault; performs and records rotation; approves exceptions.</w:t>
            </w:r>
          </w:p>
        </w:tc>
      </w:tr>
      <w:tr>
        <w:tc>
          <w:tcPr>
            <w:tcW w:type="dxa" w:w="2592"/>
          </w:tcPr>
          <w:p>
            <w:r>
              <w:rPr>
                <w:sz w:val="18"/>
              </w:rPr>
              <w:t>Engineering</w:t>
            </w:r>
          </w:p>
        </w:tc>
        <w:tc>
          <w:tcPr>
            <w:tcW w:type="dxa" w:w="6336"/>
          </w:tcPr>
          <w:p>
            <w:r>
              <w:rPr>
                <w:sz w:val="18"/>
              </w:rPr>
              <w:t>Consumes secrets via managed identity; ensures no secret reaches source control.</w:t>
            </w:r>
          </w:p>
        </w:tc>
      </w:tr>
      <w:tr>
        <w:tc>
          <w:tcPr>
            <w:tcW w:type="dxa" w:w="2592"/>
          </w:tcPr>
          <w:p>
            <w:r>
              <w:rPr>
                <w:sz w:val="18"/>
              </w:rPr>
              <w:t>CEO</w:t>
            </w:r>
          </w:p>
        </w:tc>
        <w:tc>
          <w:tcPr>
            <w:tcW w:type="dxa" w:w="6336"/>
          </w:tcPr>
          <w:p>
            <w:r>
              <w:rPr>
                <w:sz w:val="18"/>
              </w:rPr>
              <w:t>Approves exceptions with a documented expiry.</w:t>
            </w:r>
          </w:p>
        </w:tc>
      </w:tr>
    </w:tbl>
    <w:p/>
    <w:p>
      <w:r>
        <w:br w:type="page"/>
      </w:r>
    </w:p>
    <w:p>
      <w:pPr>
        <w:pStyle w:val="Heading2"/>
      </w:pPr>
      <w:r>
        <w:t>Compliance mapping</w:t>
      </w:r>
    </w:p>
    <w:p>
      <w:r>
        <w:t>Each framework reference below identifies the control this document is written to satisfy. Where a control is only partially satisfied, the gap is stated in the row rather than omitted - a mapping table that shows only green is not evidence, it is decoration.</w:t>
      </w:r>
    </w:p>
    <w:tbl>
      <w:tblPr>
        <w:tblStyle w:val="TableGrid"/>
        <w:tblW w:type="auto" w:w="0"/>
        <w:tblLook w:firstColumn="1" w:firstRow="1" w:lastColumn="0" w:lastRow="0" w:noHBand="0" w:noVBand="1" w:val="04A0"/>
      </w:tblPr>
      <w:tblGrid>
        <w:gridCol w:w="2340"/>
        <w:gridCol w:w="2340"/>
        <w:gridCol w:w="2340"/>
        <w:gridCol w:w="2340"/>
      </w:tblGrid>
      <w:tr>
        <w:tc>
          <w:tcPr>
            <w:tcW w:type="dxa" w:w="1584"/>
            <w:shd w:val="clear" w:fill="0F2B4C"/>
          </w:tcPr>
          <w:p>
            <w:r>
              <w:rPr>
                <w:b/>
                <w:color w:val="FFFFFF"/>
                <w:sz w:val="18"/>
              </w:rPr>
              <w:t>Framework</w:t>
            </w:r>
          </w:p>
        </w:tc>
        <w:tc>
          <w:tcPr>
            <w:tcW w:type="dxa" w:w="2160"/>
            <w:shd w:val="clear" w:fill="0F2B4C"/>
          </w:tcPr>
          <w:p>
            <w:r>
              <w:rPr>
                <w:b/>
                <w:color w:val="FFFFFF"/>
                <w:sz w:val="18"/>
              </w:rPr>
              <w:t>Control reference</w:t>
            </w:r>
          </w:p>
        </w:tc>
        <w:tc>
          <w:tcPr>
            <w:tcW w:type="dxa" w:w="4320"/>
            <w:shd w:val="clear" w:fill="0F2B4C"/>
          </w:tcPr>
          <w:p>
            <w:r>
              <w:rPr>
                <w:b/>
                <w:color w:val="FFFFFF"/>
                <w:sz w:val="18"/>
              </w:rPr>
              <w:t>How this document satisfies it</w:t>
            </w:r>
          </w:p>
        </w:tc>
        <w:tc>
          <w:tcPr>
            <w:tcW w:type="dxa" w:w="1152"/>
            <w:shd w:val="clear" w:fill="0F2B4C"/>
          </w:tcPr>
          <w:p>
            <w:r>
              <w:rPr>
                <w:b/>
                <w:color w:val="FFFFFF"/>
                <w:sz w:val="18"/>
              </w:rPr>
              <w:t>Status</w:t>
            </w:r>
          </w:p>
        </w:tc>
      </w:tr>
      <w:tr>
        <w:tc>
          <w:tcPr>
            <w:tcW w:type="dxa" w:w="1584"/>
          </w:tcPr>
          <w:p>
            <w:r>
              <w:rPr>
                <w:sz w:val="18"/>
              </w:rPr>
              <w:t>NIST 800-53</w:t>
            </w:r>
          </w:p>
        </w:tc>
        <w:tc>
          <w:tcPr>
            <w:tcW w:type="dxa" w:w="2160"/>
          </w:tcPr>
          <w:p>
            <w:r>
              <w:rPr>
                <w:sz w:val="18"/>
              </w:rPr>
              <w:t>SC-12, SC-13, SC-17, SC-28</w:t>
            </w:r>
          </w:p>
        </w:tc>
        <w:tc>
          <w:tcPr>
            <w:tcW w:type="dxa" w:w="4320"/>
          </w:tcPr>
          <w:p>
            <w:r>
              <w:rPr>
                <w:sz w:val="18"/>
              </w:rPr>
              <w:t>Key establishment and management, cryptographic protection, PKI, protection at rest.</w:t>
            </w:r>
          </w:p>
        </w:tc>
        <w:tc>
          <w:tcPr>
            <w:tcW w:type="dxa" w:w="1152"/>
          </w:tcPr>
          <w:p>
            <w:r>
              <w:rPr>
                <w:sz w:val="18"/>
              </w:rPr>
              <w:t>Met</w:t>
            </w:r>
          </w:p>
        </w:tc>
      </w:tr>
      <w:tr>
        <w:tc>
          <w:tcPr>
            <w:tcW w:type="dxa" w:w="1584"/>
          </w:tcPr>
          <w:p>
            <w:r>
              <w:rPr>
                <w:sz w:val="18"/>
              </w:rPr>
              <w:t>FIPS</w:t>
            </w:r>
          </w:p>
        </w:tc>
        <w:tc>
          <w:tcPr>
            <w:tcW w:type="dxa" w:w="2160"/>
          </w:tcPr>
          <w:p>
            <w:r>
              <w:rPr>
                <w:sz w:val="18"/>
              </w:rPr>
              <w:t>140-2 / 140-3</w:t>
            </w:r>
          </w:p>
        </w:tc>
        <w:tc>
          <w:tcPr>
            <w:tcW w:type="dxa" w:w="4320"/>
          </w:tcPr>
          <w:p>
            <w:r>
              <w:rPr>
                <w:sz w:val="18"/>
              </w:rPr>
              <w:t>Azure Key Vault HSM-backed keys use validated modules.</w:t>
            </w:r>
          </w:p>
        </w:tc>
        <w:tc>
          <w:tcPr>
            <w:tcW w:type="dxa" w:w="1152"/>
          </w:tcPr>
          <w:p>
            <w:r>
              <w:rPr>
                <w:sz w:val="18"/>
              </w:rPr>
              <w:t>Inherited</w:t>
            </w:r>
          </w:p>
        </w:tc>
      </w:tr>
      <w:tr>
        <w:tc>
          <w:tcPr>
            <w:tcW w:type="dxa" w:w="1584"/>
          </w:tcPr>
          <w:p>
            <w:r>
              <w:rPr>
                <w:sz w:val="18"/>
              </w:rPr>
              <w:t>HIPAA</w:t>
            </w:r>
          </w:p>
        </w:tc>
        <w:tc>
          <w:tcPr>
            <w:tcW w:type="dxa" w:w="2160"/>
          </w:tcPr>
          <w:p>
            <w:r>
              <w:rPr>
                <w:sz w:val="18"/>
              </w:rPr>
              <w:t>164.312(a)(2)(iv)</w:t>
            </w:r>
          </w:p>
        </w:tc>
        <w:tc>
          <w:tcPr>
            <w:tcW w:type="dxa" w:w="4320"/>
          </w:tcPr>
          <w:p>
            <w:r>
              <w:rPr>
                <w:sz w:val="18"/>
              </w:rPr>
              <w:t>Encryption and decryption of ePHI.</w:t>
            </w:r>
          </w:p>
        </w:tc>
        <w:tc>
          <w:tcPr>
            <w:tcW w:type="dxa" w:w="1152"/>
          </w:tcPr>
          <w:p>
            <w:r>
              <w:rPr>
                <w:sz w:val="18"/>
              </w:rPr>
              <w:t>Met</w:t>
            </w:r>
          </w:p>
        </w:tc>
      </w:tr>
      <w:tr>
        <w:tc>
          <w:tcPr>
            <w:tcW w:type="dxa" w:w="1584"/>
          </w:tcPr>
          <w:p>
            <w:r>
              <w:rPr>
                <w:sz w:val="18"/>
              </w:rPr>
              <w:t>HIPAA</w:t>
            </w:r>
          </w:p>
        </w:tc>
        <w:tc>
          <w:tcPr>
            <w:tcW w:type="dxa" w:w="2160"/>
          </w:tcPr>
          <w:p>
            <w:r>
              <w:rPr>
                <w:sz w:val="18"/>
              </w:rPr>
              <w:t>164.312(e)(2)(ii)</w:t>
            </w:r>
          </w:p>
        </w:tc>
        <w:tc>
          <w:tcPr>
            <w:tcW w:type="dxa" w:w="4320"/>
          </w:tcPr>
          <w:p>
            <w:r>
              <w:rPr>
                <w:sz w:val="18"/>
              </w:rPr>
              <w:t>Encryption of ePHI in transit.</w:t>
            </w:r>
          </w:p>
        </w:tc>
        <w:tc>
          <w:tcPr>
            <w:tcW w:type="dxa" w:w="1152"/>
          </w:tcPr>
          <w:p>
            <w:r>
              <w:rPr>
                <w:sz w:val="18"/>
              </w:rPr>
              <w:t>Met</w:t>
            </w:r>
          </w:p>
        </w:tc>
      </w:tr>
      <w:tr>
        <w:tc>
          <w:tcPr>
            <w:tcW w:type="dxa" w:w="1584"/>
          </w:tcPr>
          <w:p>
            <w:r>
              <w:rPr>
                <w:sz w:val="18"/>
              </w:rPr>
              <w:t>SOC 2</w:t>
            </w:r>
          </w:p>
        </w:tc>
        <w:tc>
          <w:tcPr>
            <w:tcW w:type="dxa" w:w="2160"/>
          </w:tcPr>
          <w:p>
            <w:r>
              <w:rPr>
                <w:sz w:val="18"/>
              </w:rPr>
              <w:t>CC6.1, CC6.7</w:t>
            </w:r>
          </w:p>
        </w:tc>
        <w:tc>
          <w:tcPr>
            <w:tcW w:type="dxa" w:w="4320"/>
          </w:tcPr>
          <w:p>
            <w:r>
              <w:rPr>
                <w:sz w:val="18"/>
              </w:rPr>
              <w:t>Logical access and transmission protection.</w:t>
            </w:r>
          </w:p>
        </w:tc>
        <w:tc>
          <w:tcPr>
            <w:tcW w:type="dxa" w:w="1152"/>
          </w:tcPr>
          <w:p>
            <w:r>
              <w:rPr>
                <w:sz w:val="18"/>
              </w:rPr>
              <w:t>Met</w:t>
            </w:r>
          </w:p>
        </w:tc>
      </w:tr>
      <w:tr>
        <w:tc>
          <w:tcPr>
            <w:tcW w:type="dxa" w:w="1584"/>
          </w:tcPr>
          <w:p>
            <w:r>
              <w:rPr>
                <w:sz w:val="18"/>
              </w:rPr>
              <w:t>ISO 27001</w:t>
            </w:r>
          </w:p>
        </w:tc>
        <w:tc>
          <w:tcPr>
            <w:tcW w:type="dxa" w:w="2160"/>
          </w:tcPr>
          <w:p>
            <w:r>
              <w:rPr>
                <w:sz w:val="18"/>
              </w:rPr>
              <w:t>A.8.24</w:t>
            </w:r>
          </w:p>
        </w:tc>
        <w:tc>
          <w:tcPr>
            <w:tcW w:type="dxa" w:w="4320"/>
          </w:tcPr>
          <w:p>
            <w:r>
              <w:rPr>
                <w:sz w:val="18"/>
              </w:rPr>
              <w:t>Use of cryptography.</w:t>
            </w:r>
          </w:p>
        </w:tc>
        <w:tc>
          <w:tcPr>
            <w:tcW w:type="dxa" w:w="1152"/>
          </w:tcPr>
          <w:p>
            <w:r>
              <w:rPr>
                <w:sz w:val="18"/>
              </w:rPr>
              <w:t>Met</w:t>
            </w:r>
          </w:p>
        </w:tc>
      </w:tr>
      <w:tr>
        <w:tc>
          <w:tcPr>
            <w:tcW w:type="dxa" w:w="1584"/>
          </w:tcPr>
          <w:p>
            <w:r>
              <w:rPr>
                <w:sz w:val="18"/>
              </w:rPr>
              <w:t>FedRAMP</w:t>
            </w:r>
          </w:p>
        </w:tc>
        <w:tc>
          <w:tcPr>
            <w:tcW w:type="dxa" w:w="2160"/>
          </w:tcPr>
          <w:p>
            <w:r>
              <w:rPr>
                <w:sz w:val="18"/>
              </w:rPr>
              <w:t>SC-12(1), SC-13</w:t>
            </w:r>
          </w:p>
        </w:tc>
        <w:tc>
          <w:tcPr>
            <w:tcW w:type="dxa" w:w="4320"/>
          </w:tcPr>
          <w:p>
            <w:r>
              <w:rPr>
                <w:sz w:val="18"/>
              </w:rPr>
              <w:t>Key management and FIPS-validated cryptography.</w:t>
            </w:r>
          </w:p>
        </w:tc>
        <w:tc>
          <w:tcPr>
            <w:tcW w:type="dxa" w:w="1152"/>
          </w:tcPr>
          <w:p>
            <w:r>
              <w:rPr>
                <w:sz w:val="18"/>
              </w:rPr>
              <w:t>Partial - DATABASE_URL exception open.</w:t>
            </w:r>
          </w:p>
        </w:tc>
      </w:tr>
    </w:tbl>
    <w:p/>
    <w:p>
      <w:pPr>
        <w:pStyle w:val="Heading2"/>
      </w:pPr>
      <w:r>
        <w:t>Related documents</w:t>
      </w:r>
    </w:p>
    <w:tbl>
      <w:tblPr>
        <w:tblStyle w:val="TableGrid"/>
        <w:tblW w:type="auto" w:w="0"/>
        <w:tblLook w:firstColumn="1" w:firstRow="1" w:lastColumn="0" w:lastRow="0" w:noHBand="0" w:noVBand="1" w:val="04A0"/>
      </w:tblPr>
      <w:tblGrid>
        <w:gridCol w:w="3120"/>
        <w:gridCol w:w="3120"/>
        <w:gridCol w:w="3120"/>
      </w:tblGrid>
      <w:tr>
        <w:tc>
          <w:tcPr>
            <w:tcW w:type="dxa" w:w="1872"/>
            <w:shd w:val="clear" w:fill="0F2B4C"/>
          </w:tcPr>
          <w:p>
            <w:r>
              <w:rPr>
                <w:b/>
                <w:color w:val="FFFFFF"/>
                <w:sz w:val="18"/>
              </w:rPr>
              <w:t>Document ID</w:t>
            </w:r>
          </w:p>
        </w:tc>
        <w:tc>
          <w:tcPr>
            <w:tcW w:type="dxa" w:w="4176"/>
            <w:shd w:val="clear" w:fill="0F2B4C"/>
          </w:tcPr>
          <w:p>
            <w:r>
              <w:rPr>
                <w:b/>
                <w:color w:val="FFFFFF"/>
                <w:sz w:val="18"/>
              </w:rPr>
              <w:t>Title</w:t>
            </w:r>
          </w:p>
        </w:tc>
        <w:tc>
          <w:tcPr>
            <w:tcW w:type="dxa" w:w="3168"/>
            <w:shd w:val="clear" w:fill="0F2B4C"/>
          </w:tcPr>
          <w:p>
            <w:r>
              <w:rPr>
                <w:b/>
                <w:color w:val="FFFFFF"/>
                <w:sz w:val="18"/>
              </w:rPr>
              <w:t>Relationship</w:t>
            </w:r>
          </w:p>
        </w:tc>
      </w:tr>
      <w:tr>
        <w:tc>
          <w:tcPr>
            <w:tcW w:type="dxa" w:w="1872"/>
          </w:tcPr>
          <w:p>
            <w:r>
              <w:rPr>
                <w:sz w:val="18"/>
              </w:rPr>
              <w:t>AGT-DCP-006</w:t>
            </w:r>
          </w:p>
        </w:tc>
        <w:tc>
          <w:tcPr>
            <w:tcW w:type="dxa" w:w="4176"/>
          </w:tcPr>
          <w:p>
            <w:r>
              <w:rPr>
                <w:sz w:val="18"/>
              </w:rPr>
              <w:t>Data Classification Policy</w:t>
            </w:r>
          </w:p>
        </w:tc>
        <w:tc>
          <w:tcPr>
            <w:tcW w:type="dxa" w:w="3168"/>
          </w:tcPr>
          <w:p>
            <w:r>
              <w:rPr>
                <w:sz w:val="18"/>
              </w:rPr>
              <w:t>Determines what must be encrypted</w:t>
            </w:r>
          </w:p>
        </w:tc>
      </w:tr>
      <w:tr>
        <w:tc>
          <w:tcPr>
            <w:tcW w:type="dxa" w:w="1872"/>
          </w:tcPr>
          <w:p>
            <w:r>
              <w:rPr>
                <w:sz w:val="18"/>
              </w:rPr>
              <w:t>AGT-IAM-004</w:t>
            </w:r>
          </w:p>
        </w:tc>
        <w:tc>
          <w:tcPr>
            <w:tcW w:type="dxa" w:w="4176"/>
          </w:tcPr>
          <w:p>
            <w:r>
              <w:rPr>
                <w:sz w:val="18"/>
              </w:rPr>
              <w:t>Identity and Access Management Policy</w:t>
            </w:r>
          </w:p>
        </w:tc>
        <w:tc>
          <w:tcPr>
            <w:tcW w:type="dxa" w:w="3168"/>
          </w:tcPr>
          <w:p>
            <w:r>
              <w:rPr>
                <w:sz w:val="18"/>
              </w:rPr>
              <w:t>Managed identity access to Key Vault</w:t>
            </w:r>
          </w:p>
        </w:tc>
      </w:tr>
      <w:tr>
        <w:tc>
          <w:tcPr>
            <w:tcW w:type="dxa" w:w="1872"/>
          </w:tcPr>
          <w:p>
            <w:r>
              <w:rPr>
                <w:sz w:val="18"/>
              </w:rPr>
              <w:t>AGT-CfMP-016</w:t>
            </w:r>
          </w:p>
        </w:tc>
        <w:tc>
          <w:tcPr>
            <w:tcW w:type="dxa" w:w="4176"/>
          </w:tcPr>
          <w:p>
            <w:r>
              <w:rPr>
                <w:sz w:val="18"/>
              </w:rPr>
              <w:t>Configuration Management Policy</w:t>
            </w:r>
          </w:p>
        </w:tc>
        <w:tc>
          <w:tcPr>
            <w:tcW w:type="dxa" w:w="3168"/>
          </w:tcPr>
          <w:p>
            <w:r>
              <w:rPr>
                <w:sz w:val="18"/>
              </w:rPr>
              <w:t>Secret configuration baselines</w:t>
            </w:r>
          </w:p>
        </w:tc>
      </w:tr>
      <w:tr>
        <w:tc>
          <w:tcPr>
            <w:tcW w:type="dxa" w:w="1872"/>
          </w:tcPr>
          <w:p>
            <w:r>
              <w:rPr>
                <w:sz w:val="18"/>
              </w:rPr>
              <w:t>AGT-IRP-022</w:t>
            </w:r>
          </w:p>
        </w:tc>
        <w:tc>
          <w:tcPr>
            <w:tcW w:type="dxa" w:w="4176"/>
          </w:tcPr>
          <w:p>
            <w:r>
              <w:rPr>
                <w:sz w:val="18"/>
              </w:rPr>
              <w:t>Incident Response Plan</w:t>
            </w:r>
          </w:p>
        </w:tc>
        <w:tc>
          <w:tcPr>
            <w:tcW w:type="dxa" w:w="3168"/>
          </w:tcPr>
          <w:p>
            <w:r>
              <w:rPr>
                <w:sz w:val="18"/>
              </w:rPr>
              <w:t>Key compromise response</w:t>
            </w:r>
          </w:p>
        </w:tc>
      </w:tr>
    </w:tbl>
    <w:p/>
    <w:p>
      <w:r>
        <w:br w:type="page"/>
      </w:r>
    </w:p>
    <w:p>
      <w:pPr>
        <w:pStyle w:val="Heading1"/>
      </w:pPr>
      <w:r>
        <w:t>Version history</w:t>
      </w:r>
    </w:p>
    <w:tbl>
      <w:tblPr>
        <w:tblStyle w:val="TableGrid"/>
        <w:tblW w:type="auto" w:w="0"/>
        <w:tblLook w:firstColumn="1" w:firstRow="1" w:lastColumn="0" w:lastRow="0" w:noHBand="0" w:noVBand="1" w:val="04A0"/>
      </w:tblPr>
      <w:tblGrid>
        <w:gridCol w:w="2340"/>
        <w:gridCol w:w="2340"/>
        <w:gridCol w:w="2340"/>
        <w:gridCol w:w="2340"/>
      </w:tblGrid>
      <w:tr>
        <w:tc>
          <w:tcPr>
            <w:tcW w:type="dxa" w:w="1152"/>
            <w:shd w:val="clear" w:fill="0F2B4C"/>
          </w:tcPr>
          <w:p>
            <w:r>
              <w:rPr>
                <w:b/>
                <w:color w:val="FFFFFF"/>
                <w:sz w:val="18"/>
              </w:rPr>
              <w:t>Version</w:t>
            </w:r>
          </w:p>
        </w:tc>
        <w:tc>
          <w:tcPr>
            <w:tcW w:type="dxa" w:w="1584"/>
            <w:shd w:val="clear" w:fill="0F2B4C"/>
          </w:tcPr>
          <w:p>
            <w:r>
              <w:rPr>
                <w:b/>
                <w:color w:val="FFFFFF"/>
                <w:sz w:val="18"/>
              </w:rPr>
              <w:t>Date</w:t>
            </w:r>
          </w:p>
        </w:tc>
        <w:tc>
          <w:tcPr>
            <w:tcW w:type="dxa" w:w="2016"/>
            <w:shd w:val="clear" w:fill="0F2B4C"/>
          </w:tcPr>
          <w:p>
            <w:r>
              <w:rPr>
                <w:b/>
                <w:color w:val="FFFFFF"/>
                <w:sz w:val="18"/>
              </w:rPr>
              <w:t>Author</w:t>
            </w:r>
          </w:p>
        </w:tc>
        <w:tc>
          <w:tcPr>
            <w:tcW w:type="dxa" w:w="4176"/>
            <w:shd w:val="clear" w:fill="0F2B4C"/>
          </w:tcPr>
          <w:p>
            <w:r>
              <w:rPr>
                <w:b/>
                <w:color w:val="FFFFFF"/>
                <w:sz w:val="18"/>
              </w:rPr>
              <w:t>Summary of change</w:t>
            </w:r>
          </w:p>
        </w:tc>
      </w:tr>
      <w:tr>
        <w:tc>
          <w:tcPr>
            <w:tcW w:type="dxa" w:w="1152"/>
          </w:tcPr>
          <w:p>
            <w:r>
              <w:rPr>
                <w:sz w:val="18"/>
              </w:rPr>
              <w:t>1.0</w:t>
            </w:r>
          </w:p>
        </w:tc>
        <w:tc>
          <w:tcPr>
            <w:tcW w:type="dxa" w:w="1584"/>
          </w:tcPr>
          <w:p>
            <w:r>
              <w:rPr>
                <w:sz w:val="18"/>
              </w:rPr>
              <w:t>2026-07-28</w:t>
            </w:r>
          </w:p>
        </w:tc>
        <w:tc>
          <w:tcPr>
            <w:tcW w:type="dxa" w:w="2016"/>
          </w:tcPr>
          <w:p>
            <w:r>
              <w:rPr>
                <w:sz w:val="18"/>
              </w:rPr>
              <w:t>Imran Siddiqui</w:t>
            </w:r>
          </w:p>
        </w:tc>
        <w:tc>
          <w:tcPr>
            <w:tcW w:type="dxa" w:w="4176"/>
          </w:tcPr>
          <w:p>
            <w:r>
              <w:rPr>
                <w:sz w:val="18"/>
              </w:rPr>
              <w:t>Initial issue.</w:t>
            </w:r>
          </w:p>
        </w:tc>
      </w:tr>
    </w:tbl>
    <w:p/>
    <w:p>
      <w:pPr>
        <w:pStyle w:val="Heading1"/>
      </w:pPr>
      <w:r>
        <w:t>Approval</w:t>
      </w:r>
    </w:p>
    <w:p>
      <w:r>
        <w:t>This document is approved for use and is binding on all personnel and contractors with access to the systems in scope.</w:t>
      </w:r>
    </w:p>
    <w:tbl>
      <w:tblPr>
        <w:tblStyle w:val="TableGrid"/>
        <w:tblW w:type="auto" w:w="0"/>
        <w:tblLook w:firstColumn="1" w:firstRow="1" w:lastColumn="0" w:lastRow="0" w:noHBand="0" w:noVBand="1" w:val="04A0"/>
      </w:tblPr>
      <w:tblGrid>
        <w:gridCol w:w="2340"/>
        <w:gridCol w:w="2340"/>
        <w:gridCol w:w="2340"/>
        <w:gridCol w:w="2340"/>
      </w:tblGrid>
      <w:tr>
        <w:tc>
          <w:tcPr>
            <w:tcW w:type="dxa" w:w="2592"/>
            <w:shd w:val="clear" w:fill="0F2B4C"/>
          </w:tcPr>
          <w:p>
            <w:r>
              <w:rPr>
                <w:b/>
                <w:color w:val="FFFFFF"/>
                <w:sz w:val="18"/>
              </w:rPr>
              <w:t>Role</w:t>
            </w:r>
          </w:p>
        </w:tc>
        <w:tc>
          <w:tcPr>
            <w:tcW w:type="dxa" w:w="2304"/>
            <w:shd w:val="clear" w:fill="0F2B4C"/>
          </w:tcPr>
          <w:p>
            <w:r>
              <w:rPr>
                <w:b/>
                <w:color w:val="FFFFFF"/>
                <w:sz w:val="18"/>
              </w:rPr>
              <w:t>Name</w:t>
            </w:r>
          </w:p>
        </w:tc>
        <w:tc>
          <w:tcPr>
            <w:tcW w:type="dxa" w:w="2304"/>
            <w:shd w:val="clear" w:fill="0F2B4C"/>
          </w:tcPr>
          <w:p>
            <w:r>
              <w:rPr>
                <w:b/>
                <w:color w:val="FFFFFF"/>
                <w:sz w:val="18"/>
              </w:rPr>
              <w:t>Signature</w:t>
            </w:r>
          </w:p>
        </w:tc>
        <w:tc>
          <w:tcPr>
            <w:tcW w:type="dxa" w:w="1728"/>
            <w:shd w:val="clear" w:fill="0F2B4C"/>
          </w:tcPr>
          <w:p>
            <w:r>
              <w:rPr>
                <w:b/>
                <w:color w:val="FFFFFF"/>
                <w:sz w:val="18"/>
              </w:rPr>
              <w:t>Date</w:t>
            </w:r>
          </w:p>
        </w:tc>
      </w:tr>
      <w:tr>
        <w:tc>
          <w:tcPr>
            <w:tcW w:type="dxa" w:w="2592"/>
          </w:tcPr>
          <w:p>
            <w:r>
              <w:rPr>
                <w:sz w:val="18"/>
              </w:rPr>
              <w:t>Chief Executive Officer</w:t>
            </w:r>
          </w:p>
        </w:tc>
        <w:tc>
          <w:tcPr>
            <w:tcW w:type="dxa" w:w="2304"/>
          </w:tcPr>
          <w:p>
            <w:r>
              <w:rPr>
                <w:sz w:val="18"/>
              </w:rPr>
              <w:t>Imran Siddiqui</w:t>
            </w:r>
          </w:p>
        </w:tc>
        <w:tc>
          <w:tcPr>
            <w:tcW w:type="dxa" w:w="2304"/>
          </w:tcPr>
          <w:p>
            <w:r>
              <w:rPr>
                <w:sz w:val="18"/>
              </w:rPr>
            </w:r>
          </w:p>
        </w:tc>
        <w:tc>
          <w:tcPr>
            <w:tcW w:type="dxa" w:w="1728"/>
          </w:tcPr>
          <w:p>
            <w:r>
              <w:rPr>
                <w:sz w:val="18"/>
              </w:rPr>
            </w:r>
          </w:p>
        </w:tc>
      </w:tr>
      <w:tr>
        <w:tc>
          <w:tcPr>
            <w:tcW w:type="dxa" w:w="2592"/>
          </w:tcPr>
          <w:p>
            <w:r>
              <w:rPr>
                <w:sz w:val="18"/>
              </w:rPr>
              <w:t>Security Officer</w:t>
            </w:r>
          </w:p>
        </w:tc>
        <w:tc>
          <w:tcPr>
            <w:tcW w:type="dxa" w:w="2304"/>
          </w:tcPr>
          <w:p>
            <w:r>
              <w:rPr>
                <w:sz w:val="18"/>
              </w:rPr>
            </w:r>
          </w:p>
        </w:tc>
        <w:tc>
          <w:tcPr>
            <w:tcW w:type="dxa" w:w="2304"/>
          </w:tcPr>
          <w:p>
            <w:r>
              <w:rPr>
                <w:sz w:val="18"/>
              </w:rPr>
            </w:r>
          </w:p>
        </w:tc>
        <w:tc>
          <w:tcPr>
            <w:tcW w:type="dxa" w:w="1728"/>
          </w:tcPr>
          <w:p>
            <w:r>
              <w:rPr>
                <w:sz w:val="18"/>
              </w:rPr>
            </w:r>
          </w:p>
        </w:tc>
      </w:tr>
      <w:tr>
        <w:tc>
          <w:tcPr>
            <w:tcW w:type="dxa" w:w="2592"/>
          </w:tcPr>
          <w:p>
            <w:r>
              <w:rPr>
                <w:sz w:val="18"/>
              </w:rPr>
              <w:t>Privacy Officer</w:t>
            </w:r>
          </w:p>
        </w:tc>
        <w:tc>
          <w:tcPr>
            <w:tcW w:type="dxa" w:w="2304"/>
          </w:tcPr>
          <w:p>
            <w:r>
              <w:rPr>
                <w:sz w:val="18"/>
              </w:rPr>
            </w:r>
          </w:p>
        </w:tc>
        <w:tc>
          <w:tcPr>
            <w:tcW w:type="dxa" w:w="2304"/>
          </w:tcPr>
          <w:p>
            <w:r>
              <w:rPr>
                <w:sz w:val="18"/>
              </w:rPr>
            </w:r>
          </w:p>
        </w:tc>
        <w:tc>
          <w:tcPr>
            <w:tcW w:type="dxa" w:w="1728"/>
          </w:tcPr>
          <w:p>
            <w:r>
              <w:rPr>
                <w:sz w:val="18"/>
              </w:rPr>
            </w:r>
          </w:p>
        </w:tc>
      </w:tr>
    </w:tbl>
    <w:p/>
    <w:p>
      <w:r>
        <w:rPr>
          <w:i/>
          <w:color w:val="5A5A5A"/>
          <w:sz w:val="19"/>
        </w:rPr>
        <w:t>Approval is recorded in the document management system; a wet signature is not required where an auditable electronic approval exists.</w:t>
      </w:r>
    </w:p>
    <w:sectPr w:rsidR="00FC693F" w:rsidRPr="0006063C" w:rsidSect="00034616">
      <w:foot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AGT-CKM-009 v1.0  |  AGT Internal  |  Uncontrolled when printed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F2B4C"/>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F2B4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F6CB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