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Continuous Monitoring Strategy</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AGT-CMS-024</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strategy defines the ongoing activities by which AGT maintains awareness of its security posture between formal assessments. The purpose is to ensure that authorization remains justified over time rather than being a statement about one day in the past.</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1"/>
      </w:pPr>
      <w:r>
        <w:t>3. Monitoring cadence</w:t>
      </w:r>
    </w:p>
    <w:tbl>
      <w:tblPr>
        <w:tblStyle w:val="TableGrid"/>
        <w:tblW w:type="auto" w:w="0"/>
        <w:tblLook w:firstColumn="1" w:firstRow="1" w:lastColumn="0" w:lastRow="0" w:noHBand="0" w:noVBand="1" w:val="04A0"/>
      </w:tblPr>
      <w:tblGrid>
        <w:gridCol w:w="2340"/>
        <w:gridCol w:w="2340"/>
        <w:gridCol w:w="2340"/>
        <w:gridCol w:w="2340"/>
      </w:tblGrid>
      <w:tr>
        <w:tc>
          <w:tcPr>
            <w:tcW w:type="dxa" w:w="3024"/>
            <w:shd w:val="clear" w:fill="0F2B4C"/>
          </w:tcPr>
          <w:p>
            <w:r>
              <w:rPr>
                <w:b/>
                <w:color w:val="FFFFFF"/>
                <w:sz w:val="18"/>
              </w:rPr>
              <w:t>Activity</w:t>
            </w:r>
          </w:p>
        </w:tc>
        <w:tc>
          <w:tcPr>
            <w:tcW w:type="dxa" w:w="1584"/>
            <w:shd w:val="clear" w:fill="0F2B4C"/>
          </w:tcPr>
          <w:p>
            <w:r>
              <w:rPr>
                <w:b/>
                <w:color w:val="FFFFFF"/>
                <w:sz w:val="18"/>
              </w:rPr>
              <w:t>Frequency</w:t>
            </w:r>
          </w:p>
        </w:tc>
        <w:tc>
          <w:tcPr>
            <w:tcW w:type="dxa" w:w="1872"/>
            <w:shd w:val="clear" w:fill="0F2B4C"/>
          </w:tcPr>
          <w:p>
            <w:r>
              <w:rPr>
                <w:b/>
                <w:color w:val="FFFFFF"/>
                <w:sz w:val="18"/>
              </w:rPr>
              <w:t>Owner</w:t>
            </w:r>
          </w:p>
        </w:tc>
        <w:tc>
          <w:tcPr>
            <w:tcW w:type="dxa" w:w="2448"/>
            <w:shd w:val="clear" w:fill="0F2B4C"/>
          </w:tcPr>
          <w:p>
            <w:r>
              <w:rPr>
                <w:b/>
                <w:color w:val="FFFFFF"/>
                <w:sz w:val="18"/>
              </w:rPr>
              <w:t>Output</w:t>
            </w:r>
          </w:p>
        </w:tc>
      </w:tr>
      <w:tr>
        <w:tc>
          <w:tcPr>
            <w:tcW w:type="dxa" w:w="3024"/>
          </w:tcPr>
          <w:p>
            <w:r>
              <w:rPr>
                <w:sz w:val="18"/>
              </w:rPr>
              <w:t>Automated full security scan</w:t>
            </w:r>
          </w:p>
        </w:tc>
        <w:tc>
          <w:tcPr>
            <w:tcW w:type="dxa" w:w="1584"/>
          </w:tcPr>
          <w:p>
            <w:r>
              <w:rPr>
                <w:sz w:val="18"/>
              </w:rPr>
              <w:t>Nightly</w:t>
            </w:r>
          </w:p>
        </w:tc>
        <w:tc>
          <w:tcPr>
            <w:tcW w:type="dxa" w:w="1872"/>
          </w:tcPr>
          <w:p>
            <w:r>
              <w:rPr>
                <w:sz w:val="18"/>
              </w:rPr>
              <w:t>Automated</w:t>
            </w:r>
          </w:p>
        </w:tc>
        <w:tc>
          <w:tcPr>
            <w:tcW w:type="dxa" w:w="2448"/>
          </w:tcPr>
          <w:p>
            <w:r>
              <w:rPr>
                <w:sz w:val="18"/>
              </w:rPr>
              <w:t>Scan report, SBOM, dashboard</w:t>
            </w:r>
          </w:p>
        </w:tc>
      </w:tr>
      <w:tr>
        <w:tc>
          <w:tcPr>
            <w:tcW w:type="dxa" w:w="3024"/>
          </w:tcPr>
          <w:p>
            <w:r>
              <w:rPr>
                <w:sz w:val="18"/>
              </w:rPr>
              <w:t>Scan result triage</w:t>
            </w:r>
          </w:p>
        </w:tc>
        <w:tc>
          <w:tcPr>
            <w:tcW w:type="dxa" w:w="1584"/>
          </w:tcPr>
          <w:p>
            <w:r>
              <w:rPr>
                <w:sz w:val="18"/>
              </w:rPr>
              <w:t>Weekly</w:t>
            </w:r>
          </w:p>
        </w:tc>
        <w:tc>
          <w:tcPr>
            <w:tcW w:type="dxa" w:w="1872"/>
          </w:tcPr>
          <w:p>
            <w:r>
              <w:rPr>
                <w:sz w:val="18"/>
              </w:rPr>
              <w:t>Security Officer</w:t>
            </w:r>
          </w:p>
        </w:tc>
        <w:tc>
          <w:tcPr>
            <w:tcW w:type="dxa" w:w="2448"/>
          </w:tcPr>
          <w:p>
            <w:r>
              <w:rPr>
                <w:sz w:val="18"/>
              </w:rPr>
              <w:t>Triage record; new POA&amp;M items</w:t>
            </w:r>
          </w:p>
        </w:tc>
      </w:tr>
      <w:tr>
        <w:tc>
          <w:tcPr>
            <w:tcW w:type="dxa" w:w="3024"/>
          </w:tcPr>
          <w:p>
            <w:r>
              <w:rPr>
                <w:sz w:val="18"/>
              </w:rPr>
              <w:t>Security event log review</w:t>
            </w:r>
          </w:p>
        </w:tc>
        <w:tc>
          <w:tcPr>
            <w:tcW w:type="dxa" w:w="1584"/>
          </w:tcPr>
          <w:p>
            <w:r>
              <w:rPr>
                <w:sz w:val="18"/>
              </w:rPr>
              <w:t>Weekly</w:t>
            </w:r>
          </w:p>
        </w:tc>
        <w:tc>
          <w:tcPr>
            <w:tcW w:type="dxa" w:w="1872"/>
          </w:tcPr>
          <w:p>
            <w:r>
              <w:rPr>
                <w:sz w:val="18"/>
              </w:rPr>
              <w:t>Security Officer</w:t>
            </w:r>
          </w:p>
        </w:tc>
        <w:tc>
          <w:tcPr>
            <w:tcW w:type="dxa" w:w="2448"/>
          </w:tcPr>
          <w:p>
            <w:r>
              <w:rPr>
                <w:sz w:val="18"/>
              </w:rPr>
              <w:t>Review record</w:t>
            </w:r>
          </w:p>
        </w:tc>
      </w:tr>
      <w:tr>
        <w:tc>
          <w:tcPr>
            <w:tcW w:type="dxa" w:w="3024"/>
          </w:tcPr>
          <w:p>
            <w:r>
              <w:rPr>
                <w:sz w:val="18"/>
              </w:rPr>
              <w:t>Privileged action review</w:t>
            </w:r>
          </w:p>
        </w:tc>
        <w:tc>
          <w:tcPr>
            <w:tcW w:type="dxa" w:w="1584"/>
          </w:tcPr>
          <w:p>
            <w:r>
              <w:rPr>
                <w:sz w:val="18"/>
              </w:rPr>
              <w:t>Monthly</w:t>
            </w:r>
          </w:p>
        </w:tc>
        <w:tc>
          <w:tcPr>
            <w:tcW w:type="dxa" w:w="1872"/>
          </w:tcPr>
          <w:p>
            <w:r>
              <w:rPr>
                <w:sz w:val="18"/>
              </w:rPr>
              <w:t>Security Officer</w:t>
            </w:r>
          </w:p>
        </w:tc>
        <w:tc>
          <w:tcPr>
            <w:tcW w:type="dxa" w:w="2448"/>
          </w:tcPr>
          <w:p>
            <w:r>
              <w:rPr>
                <w:sz w:val="18"/>
              </w:rPr>
              <w:t>Review record</w:t>
            </w:r>
          </w:p>
        </w:tc>
      </w:tr>
      <w:tr>
        <w:tc>
          <w:tcPr>
            <w:tcW w:type="dxa" w:w="3024"/>
          </w:tcPr>
          <w:p>
            <w:r>
              <w:rPr>
                <w:sz w:val="18"/>
              </w:rPr>
              <w:t>Backup status verification</w:t>
            </w:r>
          </w:p>
        </w:tc>
        <w:tc>
          <w:tcPr>
            <w:tcW w:type="dxa" w:w="1584"/>
          </w:tcPr>
          <w:p>
            <w:r>
              <w:rPr>
                <w:sz w:val="18"/>
              </w:rPr>
              <w:t>Monthly</w:t>
            </w:r>
          </w:p>
        </w:tc>
        <w:tc>
          <w:tcPr>
            <w:tcW w:type="dxa" w:w="1872"/>
          </w:tcPr>
          <w:p>
            <w:r>
              <w:rPr>
                <w:sz w:val="18"/>
              </w:rPr>
              <w:t>Engineering</w:t>
            </w:r>
          </w:p>
        </w:tc>
        <w:tc>
          <w:tcPr>
            <w:tcW w:type="dxa" w:w="2448"/>
          </w:tcPr>
          <w:p>
            <w:r>
              <w:rPr>
                <w:sz w:val="18"/>
              </w:rPr>
              <w:t>Backup status record</w:t>
            </w:r>
          </w:p>
        </w:tc>
      </w:tr>
      <w:tr>
        <w:tc>
          <w:tcPr>
            <w:tcW w:type="dxa" w:w="3024"/>
          </w:tcPr>
          <w:p>
            <w:r>
              <w:rPr>
                <w:sz w:val="18"/>
              </w:rPr>
              <w:t>Metrics reporting to the CEO</w:t>
            </w:r>
          </w:p>
        </w:tc>
        <w:tc>
          <w:tcPr>
            <w:tcW w:type="dxa" w:w="1584"/>
          </w:tcPr>
          <w:p>
            <w:r>
              <w:rPr>
                <w:sz w:val="18"/>
              </w:rPr>
              <w:t>Monthly</w:t>
            </w:r>
          </w:p>
        </w:tc>
        <w:tc>
          <w:tcPr>
            <w:tcW w:type="dxa" w:w="1872"/>
          </w:tcPr>
          <w:p>
            <w:r>
              <w:rPr>
                <w:sz w:val="18"/>
              </w:rPr>
              <w:t>Security Officer</w:t>
            </w:r>
          </w:p>
        </w:tc>
        <w:tc>
          <w:tcPr>
            <w:tcW w:type="dxa" w:w="2448"/>
          </w:tcPr>
          <w:p>
            <w:r>
              <w:rPr>
                <w:sz w:val="18"/>
              </w:rPr>
              <w:t>Metrics summary</w:t>
            </w:r>
          </w:p>
        </w:tc>
      </w:tr>
      <w:tr>
        <w:tc>
          <w:tcPr>
            <w:tcW w:type="dxa" w:w="3024"/>
          </w:tcPr>
          <w:p>
            <w:r>
              <w:rPr>
                <w:sz w:val="18"/>
              </w:rPr>
              <w:t>Access review (all accounts)</w:t>
            </w:r>
          </w:p>
        </w:tc>
        <w:tc>
          <w:tcPr>
            <w:tcW w:type="dxa" w:w="1584"/>
          </w:tcPr>
          <w:p>
            <w:r>
              <w:rPr>
                <w:sz w:val="18"/>
              </w:rPr>
              <w:t>Quarterly</w:t>
            </w:r>
          </w:p>
        </w:tc>
        <w:tc>
          <w:tcPr>
            <w:tcW w:type="dxa" w:w="1872"/>
          </w:tcPr>
          <w:p>
            <w:r>
              <w:rPr>
                <w:sz w:val="18"/>
              </w:rPr>
              <w:t>Security Officer</w:t>
            </w:r>
          </w:p>
        </w:tc>
        <w:tc>
          <w:tcPr>
            <w:tcW w:type="dxa" w:w="2448"/>
          </w:tcPr>
          <w:p>
            <w:r>
              <w:rPr>
                <w:sz w:val="18"/>
              </w:rPr>
              <w:t>Access Review record</w:t>
            </w:r>
          </w:p>
        </w:tc>
      </w:tr>
      <w:tr>
        <w:tc>
          <w:tcPr>
            <w:tcW w:type="dxa" w:w="3024"/>
          </w:tcPr>
          <w:p>
            <w:r>
              <w:rPr>
                <w:sz w:val="18"/>
              </w:rPr>
              <w:t>Configuration drift review</w:t>
            </w:r>
          </w:p>
        </w:tc>
        <w:tc>
          <w:tcPr>
            <w:tcW w:type="dxa" w:w="1584"/>
          </w:tcPr>
          <w:p>
            <w:r>
              <w:rPr>
                <w:sz w:val="18"/>
              </w:rPr>
              <w:t>Quarterly</w:t>
            </w:r>
          </w:p>
        </w:tc>
        <w:tc>
          <w:tcPr>
            <w:tcW w:type="dxa" w:w="1872"/>
          </w:tcPr>
          <w:p>
            <w:r>
              <w:rPr>
                <w:sz w:val="18"/>
              </w:rPr>
              <w:t>Engineering</w:t>
            </w:r>
          </w:p>
        </w:tc>
        <w:tc>
          <w:tcPr>
            <w:tcW w:type="dxa" w:w="2448"/>
          </w:tcPr>
          <w:p>
            <w:r>
              <w:rPr>
                <w:sz w:val="18"/>
              </w:rPr>
              <w:t>Drift report</w:t>
            </w:r>
          </w:p>
        </w:tc>
      </w:tr>
      <w:tr>
        <w:tc>
          <w:tcPr>
            <w:tcW w:type="dxa" w:w="3024"/>
          </w:tcPr>
          <w:p>
            <w:r>
              <w:rPr>
                <w:sz w:val="18"/>
              </w:rPr>
              <w:t>Risk register review</w:t>
            </w:r>
          </w:p>
        </w:tc>
        <w:tc>
          <w:tcPr>
            <w:tcW w:type="dxa" w:w="1584"/>
          </w:tcPr>
          <w:p>
            <w:r>
              <w:rPr>
                <w:sz w:val="18"/>
              </w:rPr>
              <w:t>Quarterly</w:t>
            </w:r>
          </w:p>
        </w:tc>
        <w:tc>
          <w:tcPr>
            <w:tcW w:type="dxa" w:w="1872"/>
          </w:tcPr>
          <w:p>
            <w:r>
              <w:rPr>
                <w:sz w:val="18"/>
              </w:rPr>
              <w:t>Security Officer</w:t>
            </w:r>
          </w:p>
        </w:tc>
        <w:tc>
          <w:tcPr>
            <w:tcW w:type="dxa" w:w="2448"/>
          </w:tcPr>
          <w:p>
            <w:r>
              <w:rPr>
                <w:sz w:val="18"/>
              </w:rPr>
              <w:t>Updated register</w:t>
            </w:r>
          </w:p>
        </w:tc>
      </w:tr>
      <w:tr>
        <w:tc>
          <w:tcPr>
            <w:tcW w:type="dxa" w:w="3024"/>
          </w:tcPr>
          <w:p>
            <w:r>
              <w:rPr>
                <w:sz w:val="18"/>
              </w:rPr>
              <w:t>Backup restoration test</w:t>
            </w:r>
          </w:p>
        </w:tc>
        <w:tc>
          <w:tcPr>
            <w:tcW w:type="dxa" w:w="1584"/>
          </w:tcPr>
          <w:p>
            <w:r>
              <w:rPr>
                <w:sz w:val="18"/>
              </w:rPr>
              <w:t>Quarterly</w:t>
            </w:r>
          </w:p>
        </w:tc>
        <w:tc>
          <w:tcPr>
            <w:tcW w:type="dxa" w:w="1872"/>
          </w:tcPr>
          <w:p>
            <w:r>
              <w:rPr>
                <w:sz w:val="18"/>
              </w:rPr>
              <w:t>Engineering</w:t>
            </w:r>
          </w:p>
        </w:tc>
        <w:tc>
          <w:tcPr>
            <w:tcW w:type="dxa" w:w="2448"/>
          </w:tcPr>
          <w:p>
            <w:r>
              <w:rPr>
                <w:sz w:val="18"/>
              </w:rPr>
              <w:t>Backup Test Record</w:t>
            </w:r>
          </w:p>
        </w:tc>
      </w:tr>
      <w:tr>
        <w:tc>
          <w:tcPr>
            <w:tcW w:type="dxa" w:w="3024"/>
          </w:tcPr>
          <w:p>
            <w:r>
              <w:rPr>
                <w:sz w:val="18"/>
              </w:rPr>
              <w:t>Vendor reassessment (Critical/High)</w:t>
            </w:r>
          </w:p>
        </w:tc>
        <w:tc>
          <w:tcPr>
            <w:tcW w:type="dxa" w:w="1584"/>
          </w:tcPr>
          <w:p>
            <w:r>
              <w:rPr>
                <w:sz w:val="18"/>
              </w:rPr>
              <w:t>Annually</w:t>
            </w:r>
          </w:p>
        </w:tc>
        <w:tc>
          <w:tcPr>
            <w:tcW w:type="dxa" w:w="1872"/>
          </w:tcPr>
          <w:p>
            <w:r>
              <w:rPr>
                <w:sz w:val="18"/>
              </w:rPr>
              <w:t>Security Officer</w:t>
            </w:r>
          </w:p>
        </w:tc>
        <w:tc>
          <w:tcPr>
            <w:tcW w:type="dxa" w:w="2448"/>
          </w:tcPr>
          <w:p>
            <w:r>
              <w:rPr>
                <w:sz w:val="18"/>
              </w:rPr>
              <w:t>Vendor Review record</w:t>
            </w:r>
          </w:p>
        </w:tc>
      </w:tr>
      <w:tr>
        <w:tc>
          <w:tcPr>
            <w:tcW w:type="dxa" w:w="3024"/>
          </w:tcPr>
          <w:p>
            <w:r>
              <w:rPr>
                <w:sz w:val="18"/>
              </w:rPr>
              <w:t>HIPAA risk assessment refresh</w:t>
            </w:r>
          </w:p>
        </w:tc>
        <w:tc>
          <w:tcPr>
            <w:tcW w:type="dxa" w:w="1584"/>
          </w:tcPr>
          <w:p>
            <w:r>
              <w:rPr>
                <w:sz w:val="18"/>
              </w:rPr>
              <w:t>Annually</w:t>
            </w:r>
          </w:p>
        </w:tc>
        <w:tc>
          <w:tcPr>
            <w:tcW w:type="dxa" w:w="1872"/>
          </w:tcPr>
          <w:p>
            <w:r>
              <w:rPr>
                <w:sz w:val="18"/>
              </w:rPr>
              <w:t>Security Officer</w:t>
            </w:r>
          </w:p>
        </w:tc>
        <w:tc>
          <w:tcPr>
            <w:tcW w:type="dxa" w:w="2448"/>
          </w:tcPr>
          <w:p>
            <w:r>
              <w:rPr>
                <w:sz w:val="18"/>
              </w:rPr>
              <w:t>AGT-HIRA-025 update</w:t>
            </w:r>
          </w:p>
        </w:tc>
      </w:tr>
      <w:tr>
        <w:tc>
          <w:tcPr>
            <w:tcW w:type="dxa" w:w="3024"/>
          </w:tcPr>
          <w:p>
            <w:r>
              <w:rPr>
                <w:sz w:val="18"/>
              </w:rPr>
              <w:t>Disaster recovery test</w:t>
            </w:r>
          </w:p>
        </w:tc>
        <w:tc>
          <w:tcPr>
            <w:tcW w:type="dxa" w:w="1584"/>
          </w:tcPr>
          <w:p>
            <w:r>
              <w:rPr>
                <w:sz w:val="18"/>
              </w:rPr>
              <w:t>Annually</w:t>
            </w:r>
          </w:p>
        </w:tc>
        <w:tc>
          <w:tcPr>
            <w:tcW w:type="dxa" w:w="1872"/>
          </w:tcPr>
          <w:p>
            <w:r>
              <w:rPr>
                <w:sz w:val="18"/>
              </w:rPr>
              <w:t>Engineering</w:t>
            </w:r>
          </w:p>
        </w:tc>
        <w:tc>
          <w:tcPr>
            <w:tcW w:type="dxa" w:w="2448"/>
          </w:tcPr>
          <w:p>
            <w:r>
              <w:rPr>
                <w:sz w:val="18"/>
              </w:rPr>
              <w:t>DR Test Record</w:t>
            </w:r>
          </w:p>
        </w:tc>
      </w:tr>
      <w:tr>
        <w:tc>
          <w:tcPr>
            <w:tcW w:type="dxa" w:w="3024"/>
          </w:tcPr>
          <w:p>
            <w:r>
              <w:rPr>
                <w:sz w:val="18"/>
              </w:rPr>
              <w:t>Policy review</w:t>
            </w:r>
          </w:p>
        </w:tc>
        <w:tc>
          <w:tcPr>
            <w:tcW w:type="dxa" w:w="1584"/>
          </w:tcPr>
          <w:p>
            <w:r>
              <w:rPr>
                <w:sz w:val="18"/>
              </w:rPr>
              <w:t>Annually</w:t>
            </w:r>
          </w:p>
        </w:tc>
        <w:tc>
          <w:tcPr>
            <w:tcW w:type="dxa" w:w="1872"/>
          </w:tcPr>
          <w:p>
            <w:r>
              <w:rPr>
                <w:sz w:val="18"/>
              </w:rPr>
              <w:t>CEO</w:t>
            </w:r>
          </w:p>
        </w:tc>
        <w:tc>
          <w:tcPr>
            <w:tcW w:type="dxa" w:w="2448"/>
          </w:tcPr>
          <w:p>
            <w:r>
              <w:rPr>
                <w:sz w:val="18"/>
              </w:rPr>
              <w:t>Version history update</w:t>
            </w:r>
          </w:p>
        </w:tc>
      </w:tr>
      <w:tr>
        <w:tc>
          <w:tcPr>
            <w:tcW w:type="dxa" w:w="3024"/>
          </w:tcPr>
          <w:p>
            <w:r>
              <w:rPr>
                <w:sz w:val="18"/>
              </w:rPr>
              <w:t>Penetration test</w:t>
            </w:r>
          </w:p>
        </w:tc>
        <w:tc>
          <w:tcPr>
            <w:tcW w:type="dxa" w:w="1584"/>
          </w:tcPr>
          <w:p>
            <w:r>
              <w:rPr>
                <w:sz w:val="18"/>
              </w:rPr>
              <w:t>Annually</w:t>
            </w:r>
          </w:p>
        </w:tc>
        <w:tc>
          <w:tcPr>
            <w:tcW w:type="dxa" w:w="1872"/>
          </w:tcPr>
          <w:p>
            <w:r>
              <w:rPr>
                <w:sz w:val="18"/>
              </w:rPr>
              <w:t>Third party</w:t>
            </w:r>
          </w:p>
        </w:tc>
        <w:tc>
          <w:tcPr>
            <w:tcW w:type="dxa" w:w="2448"/>
          </w:tcPr>
          <w:p>
            <w:r>
              <w:rPr>
                <w:sz w:val="18"/>
              </w:rPr>
              <w:t>Penetration Test Report</w:t>
            </w:r>
          </w:p>
        </w:tc>
      </w:tr>
    </w:tbl>
    <w:p/>
    <w:p>
      <w:pPr>
        <w:pStyle w:val="Heading1"/>
      </w:pPr>
      <w:r>
        <w:t>4. Security metrics</w:t>
      </w:r>
    </w:p>
    <w:tbl>
      <w:tblPr>
        <w:tblStyle w:val="TableGrid"/>
        <w:tblW w:type="auto" w:w="0"/>
        <w:tblLook w:firstColumn="1" w:firstRow="1" w:lastColumn="0" w:lastRow="0" w:noHBand="0" w:noVBand="1" w:val="04A0"/>
      </w:tblPr>
      <w:tblGrid>
        <w:gridCol w:w="2340"/>
        <w:gridCol w:w="2340"/>
        <w:gridCol w:w="2340"/>
        <w:gridCol w:w="2340"/>
      </w:tblGrid>
      <w:tr>
        <w:tc>
          <w:tcPr>
            <w:tcW w:type="dxa" w:w="2448"/>
            <w:shd w:val="clear" w:fill="0F2B4C"/>
          </w:tcPr>
          <w:p>
            <w:r>
              <w:rPr>
                <w:b/>
                <w:color w:val="FFFFFF"/>
                <w:sz w:val="18"/>
              </w:rPr>
              <w:t>Metric</w:t>
            </w:r>
          </w:p>
        </w:tc>
        <w:tc>
          <w:tcPr>
            <w:tcW w:type="dxa" w:w="3168"/>
            <w:shd w:val="clear" w:fill="0F2B4C"/>
          </w:tcPr>
          <w:p>
            <w:r>
              <w:rPr>
                <w:b/>
                <w:color w:val="FFFFFF"/>
                <w:sz w:val="18"/>
              </w:rPr>
              <w:t>Definition</w:t>
            </w:r>
          </w:p>
        </w:tc>
        <w:tc>
          <w:tcPr>
            <w:tcW w:type="dxa" w:w="1584"/>
            <w:shd w:val="clear" w:fill="0F2B4C"/>
          </w:tcPr>
          <w:p>
            <w:r>
              <w:rPr>
                <w:b/>
                <w:color w:val="FFFFFF"/>
                <w:sz w:val="18"/>
              </w:rPr>
              <w:t>Target</w:t>
            </w:r>
          </w:p>
        </w:tc>
        <w:tc>
          <w:tcPr>
            <w:tcW w:type="dxa" w:w="1728"/>
            <w:shd w:val="clear" w:fill="0F2B4C"/>
          </w:tcPr>
          <w:p>
            <w:r>
              <w:rPr>
                <w:b/>
                <w:color w:val="FFFFFF"/>
                <w:sz w:val="18"/>
              </w:rPr>
              <w:t>Current</w:t>
            </w:r>
          </w:p>
        </w:tc>
      </w:tr>
      <w:tr>
        <w:tc>
          <w:tcPr>
            <w:tcW w:type="dxa" w:w="2448"/>
          </w:tcPr>
          <w:p>
            <w:r>
              <w:rPr>
                <w:sz w:val="18"/>
              </w:rPr>
              <w:t>Security score</w:t>
            </w:r>
          </w:p>
        </w:tc>
        <w:tc>
          <w:tcPr>
            <w:tcW w:type="dxa" w:w="3168"/>
          </w:tcPr>
          <w:p>
            <w:r>
              <w:rPr>
                <w:sz w:val="18"/>
              </w:rPr>
              <w:t>Density-normalized score from the scanning platform</w:t>
            </w:r>
          </w:p>
        </w:tc>
        <w:tc>
          <w:tcPr>
            <w:tcW w:type="dxa" w:w="1584"/>
          </w:tcPr>
          <w:p>
            <w:r>
              <w:rPr>
                <w:sz w:val="18"/>
              </w:rPr>
              <w:t>70 or above</w:t>
            </w:r>
          </w:p>
        </w:tc>
        <w:tc>
          <w:tcPr>
            <w:tcW w:type="dxa" w:w="1728"/>
          </w:tcPr>
          <w:p>
            <w:r>
              <w:rPr>
                <w:sz w:val="18"/>
              </w:rPr>
              <w:t>58.7</w:t>
            </w:r>
          </w:p>
        </w:tc>
      </w:tr>
      <w:tr>
        <w:tc>
          <w:tcPr>
            <w:tcW w:type="dxa" w:w="2448"/>
          </w:tcPr>
          <w:p>
            <w:r>
              <w:rPr>
                <w:sz w:val="18"/>
              </w:rPr>
              <w:t>Critical findings</w:t>
            </w:r>
          </w:p>
        </w:tc>
        <w:tc>
          <w:tcPr>
            <w:tcW w:type="dxa" w:w="3168"/>
          </w:tcPr>
          <w:p>
            <w:r>
              <w:rPr>
                <w:sz w:val="18"/>
              </w:rPr>
              <w:t>Unsuppressed Critical findings</w:t>
            </w:r>
          </w:p>
        </w:tc>
        <w:tc>
          <w:tcPr>
            <w:tcW w:type="dxa" w:w="1584"/>
          </w:tcPr>
          <w:p>
            <w:r>
              <w:rPr>
                <w:sz w:val="18"/>
              </w:rPr>
              <w:t>0</w:t>
            </w:r>
          </w:p>
        </w:tc>
        <w:tc>
          <w:tcPr>
            <w:tcW w:type="dxa" w:w="1728"/>
          </w:tcPr>
          <w:p>
            <w:r>
              <w:rPr>
                <w:sz w:val="18"/>
              </w:rPr>
              <w:t>0</w:t>
            </w:r>
          </w:p>
        </w:tc>
      </w:tr>
      <w:tr>
        <w:tc>
          <w:tcPr>
            <w:tcW w:type="dxa" w:w="2448"/>
          </w:tcPr>
          <w:p>
            <w:r>
              <w:rPr>
                <w:sz w:val="18"/>
              </w:rPr>
              <w:t>High findings</w:t>
            </w:r>
          </w:p>
        </w:tc>
        <w:tc>
          <w:tcPr>
            <w:tcW w:type="dxa" w:w="3168"/>
          </w:tcPr>
          <w:p>
            <w:r>
              <w:rPr>
                <w:sz w:val="18"/>
              </w:rPr>
              <w:t>Unsuppressed High findings</w:t>
            </w:r>
          </w:p>
        </w:tc>
        <w:tc>
          <w:tcPr>
            <w:tcW w:type="dxa" w:w="1584"/>
          </w:tcPr>
          <w:p>
            <w:r>
              <w:rPr>
                <w:sz w:val="18"/>
              </w:rPr>
              <w:t>Trending down</w:t>
            </w:r>
          </w:p>
        </w:tc>
        <w:tc>
          <w:tcPr>
            <w:tcW w:type="dxa" w:w="1728"/>
          </w:tcPr>
          <w:p>
            <w:r>
              <w:rPr>
                <w:sz w:val="18"/>
              </w:rPr>
              <w:t>39</w:t>
            </w:r>
          </w:p>
        </w:tc>
      </w:tr>
      <w:tr>
        <w:tc>
          <w:tcPr>
            <w:tcW w:type="dxa" w:w="2448"/>
          </w:tcPr>
          <w:p>
            <w:r>
              <w:rPr>
                <w:sz w:val="18"/>
              </w:rPr>
              <w:t>Scanner coverage</w:t>
            </w:r>
          </w:p>
        </w:tc>
        <w:tc>
          <w:tcPr>
            <w:tcW w:type="dxa" w:w="3168"/>
          </w:tcPr>
          <w:p>
            <w:r>
              <w:rPr>
                <w:sz w:val="18"/>
              </w:rPr>
              <w:t>Scanners producing results / scanners configured</w:t>
            </w:r>
          </w:p>
        </w:tc>
        <w:tc>
          <w:tcPr>
            <w:tcW w:type="dxa" w:w="1584"/>
          </w:tcPr>
          <w:p>
            <w:r>
              <w:rPr>
                <w:sz w:val="18"/>
              </w:rPr>
              <w:t>100%</w:t>
            </w:r>
          </w:p>
        </w:tc>
        <w:tc>
          <w:tcPr>
            <w:tcW w:type="dxa" w:w="1728"/>
          </w:tcPr>
          <w:p>
            <w:r>
              <w:rPr>
                <w:sz w:val="18"/>
              </w:rPr>
              <w:t>8 of 9</w:t>
            </w:r>
          </w:p>
        </w:tc>
      </w:tr>
      <w:tr>
        <w:tc>
          <w:tcPr>
            <w:tcW w:type="dxa" w:w="2448"/>
          </w:tcPr>
          <w:p>
            <w:r>
              <w:rPr>
                <w:sz w:val="18"/>
              </w:rPr>
              <w:t>Mean time to triage</w:t>
            </w:r>
          </w:p>
        </w:tc>
        <w:tc>
          <w:tcPr>
            <w:tcW w:type="dxa" w:w="3168"/>
          </w:tcPr>
          <w:p>
            <w:r>
              <w:rPr>
                <w:sz w:val="18"/>
              </w:rPr>
              <w:t>Time from scan to disposition</w:t>
            </w:r>
          </w:p>
        </w:tc>
        <w:tc>
          <w:tcPr>
            <w:tcW w:type="dxa" w:w="1584"/>
          </w:tcPr>
          <w:p>
            <w:r>
              <w:rPr>
                <w:sz w:val="18"/>
              </w:rPr>
              <w:t>7 days</w:t>
            </w:r>
          </w:p>
        </w:tc>
        <w:tc>
          <w:tcPr>
            <w:tcW w:type="dxa" w:w="1728"/>
          </w:tcPr>
          <w:p>
            <w:r>
              <w:rPr>
                <w:sz w:val="18"/>
              </w:rPr>
              <w:t>Tracked</w:t>
            </w:r>
          </w:p>
        </w:tc>
      </w:tr>
      <w:tr>
        <w:tc>
          <w:tcPr>
            <w:tcW w:type="dxa" w:w="2448"/>
          </w:tcPr>
          <w:p>
            <w:r>
              <w:rPr>
                <w:sz w:val="18"/>
              </w:rPr>
              <w:t>Mean time to remediate (Critical)</w:t>
            </w:r>
          </w:p>
        </w:tc>
        <w:tc>
          <w:tcPr>
            <w:tcW w:type="dxa" w:w="3168"/>
          </w:tcPr>
          <w:p>
            <w:r>
              <w:rPr>
                <w:sz w:val="18"/>
              </w:rPr>
              <w:t>Time from confirmation to fix</w:t>
            </w:r>
          </w:p>
        </w:tc>
        <w:tc>
          <w:tcPr>
            <w:tcW w:type="dxa" w:w="1584"/>
          </w:tcPr>
          <w:p>
            <w:r>
              <w:rPr>
                <w:sz w:val="18"/>
              </w:rPr>
              <w:t>7 days</w:t>
            </w:r>
          </w:p>
        </w:tc>
        <w:tc>
          <w:tcPr>
            <w:tcW w:type="dxa" w:w="1728"/>
          </w:tcPr>
          <w:p>
            <w:r>
              <w:rPr>
                <w:sz w:val="18"/>
              </w:rPr>
              <w:t>Tracked</w:t>
            </w:r>
          </w:p>
        </w:tc>
      </w:tr>
      <w:tr>
        <w:tc>
          <w:tcPr>
            <w:tcW w:type="dxa" w:w="2448"/>
          </w:tcPr>
          <w:p>
            <w:r>
              <w:rPr>
                <w:sz w:val="18"/>
              </w:rPr>
              <w:t>Access review completion</w:t>
            </w:r>
          </w:p>
        </w:tc>
        <w:tc>
          <w:tcPr>
            <w:tcW w:type="dxa" w:w="3168"/>
          </w:tcPr>
          <w:p>
            <w:r>
              <w:rPr>
                <w:sz w:val="18"/>
              </w:rPr>
              <w:t>Reviews completed on schedule</w:t>
            </w:r>
          </w:p>
        </w:tc>
        <w:tc>
          <w:tcPr>
            <w:tcW w:type="dxa" w:w="1584"/>
          </w:tcPr>
          <w:p>
            <w:r>
              <w:rPr>
                <w:sz w:val="18"/>
              </w:rPr>
              <w:t>100%</w:t>
            </w:r>
          </w:p>
        </w:tc>
        <w:tc>
          <w:tcPr>
            <w:tcW w:type="dxa" w:w="1728"/>
          </w:tcPr>
          <w:p>
            <w:r>
              <w:rPr>
                <w:sz w:val="18"/>
              </w:rPr>
              <w:t>Tracked</w:t>
            </w:r>
          </w:p>
        </w:tc>
      </w:tr>
      <w:tr>
        <w:tc>
          <w:tcPr>
            <w:tcW w:type="dxa" w:w="2448"/>
          </w:tcPr>
          <w:p>
            <w:r>
              <w:rPr>
                <w:sz w:val="18"/>
              </w:rPr>
              <w:t>Backup test success rate</w:t>
            </w:r>
          </w:p>
        </w:tc>
        <w:tc>
          <w:tcPr>
            <w:tcW w:type="dxa" w:w="3168"/>
          </w:tcPr>
          <w:p>
            <w:r>
              <w:rPr>
                <w:sz w:val="18"/>
              </w:rPr>
              <w:t>Successful restores / attempted</w:t>
            </w:r>
          </w:p>
        </w:tc>
        <w:tc>
          <w:tcPr>
            <w:tcW w:type="dxa" w:w="1584"/>
          </w:tcPr>
          <w:p>
            <w:r>
              <w:rPr>
                <w:sz w:val="18"/>
              </w:rPr>
              <w:t>100%</w:t>
            </w:r>
          </w:p>
        </w:tc>
        <w:tc>
          <w:tcPr>
            <w:tcW w:type="dxa" w:w="1728"/>
          </w:tcPr>
          <w:p>
            <w:r>
              <w:rPr>
                <w:sz w:val="18"/>
              </w:rPr>
              <w:t>Tracked</w:t>
            </w:r>
          </w:p>
        </w:tc>
      </w:tr>
      <w:tr>
        <w:tc>
          <w:tcPr>
            <w:tcW w:type="dxa" w:w="2448"/>
          </w:tcPr>
          <w:p>
            <w:r>
              <w:rPr>
                <w:sz w:val="18"/>
              </w:rPr>
              <w:t>Open POA&amp;M items past due</w:t>
            </w:r>
          </w:p>
        </w:tc>
        <w:tc>
          <w:tcPr>
            <w:tcW w:type="dxa" w:w="3168"/>
          </w:tcPr>
          <w:p>
            <w:r>
              <w:rPr>
                <w:sz w:val="18"/>
              </w:rPr>
              <w:t>Items beyond their target date</w:t>
            </w:r>
          </w:p>
        </w:tc>
        <w:tc>
          <w:tcPr>
            <w:tcW w:type="dxa" w:w="1584"/>
          </w:tcPr>
          <w:p>
            <w:r>
              <w:rPr>
                <w:sz w:val="18"/>
              </w:rPr>
              <w:t>0</w:t>
            </w:r>
          </w:p>
        </w:tc>
        <w:tc>
          <w:tcPr>
            <w:tcW w:type="dxa" w:w="1728"/>
          </w:tcPr>
          <w:p>
            <w:r>
              <w:rPr>
                <w:sz w:val="18"/>
              </w:rPr>
              <w:t>Tracked</w:t>
            </w:r>
          </w:p>
        </w:tc>
      </w:tr>
    </w:tbl>
    <w:p/>
    <w:p>
      <w:r>
        <w:t>The security score is reported with its coverage caveat attached. One scanner has never produced a result on this codebase, so every score is an upper bound on what a complete scan would report. Presenting the number without that qualification would misrepresent the posture.</w:t>
      </w:r>
    </w:p>
    <w:p>
      <w:pPr>
        <w:pStyle w:val="Heading1"/>
      </w:pPr>
      <w:r>
        <w:t>5. Suppression governance</w:t>
      </w:r>
    </w:p>
    <w:p>
      <w:r>
        <w:t>Suppressing a finding is a monitored action, not an administrative convenience.</w:t>
      </w:r>
    </w:p>
    <w:p>
      <w:pPr>
        <w:pStyle w:val="ListBullet"/>
      </w:pPr>
      <w:r>
        <w:t>Every suppression records a reason, an author, and an expiry date.</w:t>
      </w:r>
    </w:p>
    <w:p>
      <w:pPr>
        <w:pStyle w:val="ListBullet"/>
      </w:pPr>
      <w:r>
        <w:t>Permanent suppression is not permitted for any finding above Low severity.</w:t>
      </w:r>
    </w:p>
    <w:p>
      <w:pPr>
        <w:pStyle w:val="ListBullet"/>
      </w:pPr>
      <w:r>
        <w:t>Suppressions are reviewed quarterly; an expiring suppression returns the finding to the queue for re-evaluation.</w:t>
      </w:r>
    </w:p>
    <w:p>
      <w:pPr>
        <w:pStyle w:val="ListBullet"/>
      </w:pPr>
      <w:r>
        <w:t>Suppression counts are reported alongside finding counts, because a score improved by suppression and a score improved by remediation are different facts and must not be presented as the same one.</w:t>
      </w:r>
    </w:p>
    <w:p>
      <w:pPr>
        <w:pStyle w:val="Heading1"/>
      </w:pPr>
      <w:r>
        <w:t>6. POA&amp;M integration</w:t>
      </w:r>
    </w:p>
    <w:p>
      <w:r>
        <w:t>Findings that are not remediated within their severity's target window become POA&amp;M items with an owner, a milestone, and a completion date. The POA&amp;M is reviewed monthly by the Security Officer and quarterly by the CEO.</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Severity</w:t>
            </w:r>
          </w:p>
        </w:tc>
        <w:tc>
          <w:tcPr>
            <w:tcW w:type="dxa" w:w="3168"/>
            <w:shd w:val="clear" w:fill="0F2B4C"/>
          </w:tcPr>
          <w:p>
            <w:r>
              <w:rPr>
                <w:b/>
                <w:color w:val="FFFFFF"/>
                <w:sz w:val="18"/>
              </w:rPr>
              <w:t>Remediation target</w:t>
            </w:r>
          </w:p>
        </w:tc>
        <w:tc>
          <w:tcPr>
            <w:tcW w:type="dxa" w:w="3888"/>
            <w:shd w:val="clear" w:fill="0F2B4C"/>
          </w:tcPr>
          <w:p>
            <w:r>
              <w:rPr>
                <w:b/>
                <w:color w:val="FFFFFF"/>
                <w:sz w:val="18"/>
              </w:rPr>
              <w:t>POA&amp;M required if exceeded</w:t>
            </w:r>
          </w:p>
        </w:tc>
      </w:tr>
      <w:tr>
        <w:tc>
          <w:tcPr>
            <w:tcW w:type="dxa" w:w="1872"/>
          </w:tcPr>
          <w:p>
            <w:r>
              <w:rPr>
                <w:sz w:val="18"/>
              </w:rPr>
              <w:t>Critical</w:t>
            </w:r>
          </w:p>
        </w:tc>
        <w:tc>
          <w:tcPr>
            <w:tcW w:type="dxa" w:w="3168"/>
          </w:tcPr>
          <w:p>
            <w:r>
              <w:rPr>
                <w:sz w:val="18"/>
              </w:rPr>
              <w:t>7 days</w:t>
            </w:r>
          </w:p>
        </w:tc>
        <w:tc>
          <w:tcPr>
            <w:tcW w:type="dxa" w:w="3888"/>
          </w:tcPr>
          <w:p>
            <w:r>
              <w:rPr>
                <w:sz w:val="18"/>
              </w:rPr>
              <w:t>Immediately</w:t>
            </w:r>
          </w:p>
        </w:tc>
      </w:tr>
      <w:tr>
        <w:tc>
          <w:tcPr>
            <w:tcW w:type="dxa" w:w="1872"/>
          </w:tcPr>
          <w:p>
            <w:r>
              <w:rPr>
                <w:sz w:val="18"/>
              </w:rPr>
              <w:t>High</w:t>
            </w:r>
          </w:p>
        </w:tc>
        <w:tc>
          <w:tcPr>
            <w:tcW w:type="dxa" w:w="3168"/>
          </w:tcPr>
          <w:p>
            <w:r>
              <w:rPr>
                <w:sz w:val="18"/>
              </w:rPr>
              <w:t>30 days</w:t>
            </w:r>
          </w:p>
        </w:tc>
        <w:tc>
          <w:tcPr>
            <w:tcW w:type="dxa" w:w="3888"/>
          </w:tcPr>
          <w:p>
            <w:r>
              <w:rPr>
                <w:sz w:val="18"/>
              </w:rPr>
              <w:t>Yes</w:t>
            </w:r>
          </w:p>
        </w:tc>
      </w:tr>
      <w:tr>
        <w:tc>
          <w:tcPr>
            <w:tcW w:type="dxa" w:w="1872"/>
          </w:tcPr>
          <w:p>
            <w:r>
              <w:rPr>
                <w:sz w:val="18"/>
              </w:rPr>
              <w:t>Medium</w:t>
            </w:r>
          </w:p>
        </w:tc>
        <w:tc>
          <w:tcPr>
            <w:tcW w:type="dxa" w:w="3168"/>
          </w:tcPr>
          <w:p>
            <w:r>
              <w:rPr>
                <w:sz w:val="18"/>
              </w:rPr>
              <w:t>90 days</w:t>
            </w:r>
          </w:p>
        </w:tc>
        <w:tc>
          <w:tcPr>
            <w:tcW w:type="dxa" w:w="3888"/>
          </w:tcPr>
          <w:p>
            <w:r>
              <w:rPr>
                <w:sz w:val="18"/>
              </w:rPr>
              <w:t>Yes</w:t>
            </w:r>
          </w:p>
        </w:tc>
      </w:tr>
      <w:tr>
        <w:tc>
          <w:tcPr>
            <w:tcW w:type="dxa" w:w="1872"/>
          </w:tcPr>
          <w:p>
            <w:r>
              <w:rPr>
                <w:sz w:val="18"/>
              </w:rPr>
              <w:t>Low</w:t>
            </w:r>
          </w:p>
        </w:tc>
        <w:tc>
          <w:tcPr>
            <w:tcW w:type="dxa" w:w="3168"/>
          </w:tcPr>
          <w:p>
            <w:r>
              <w:rPr>
                <w:sz w:val="18"/>
              </w:rPr>
              <w:t>Next major release</w:t>
            </w:r>
          </w:p>
        </w:tc>
        <w:tc>
          <w:tcPr>
            <w:tcW w:type="dxa" w:w="3888"/>
          </w:tcPr>
          <w:p>
            <w:r>
              <w:rPr>
                <w:sz w:val="18"/>
              </w:rPr>
              <w:t>Optional</w:t>
            </w:r>
          </w:p>
        </w:tc>
      </w:tr>
    </w:tbl>
    <w:p/>
    <w:p>
      <w:pPr>
        <w:pStyle w:val="Heading1"/>
      </w:pPr>
      <w:r>
        <w:t>7. Executive reporting</w:t>
      </w:r>
    </w:p>
    <w:p>
      <w:r>
        <w:t>A monthly summary to the CEO covers: posture metrics against target, new and closed findings, incidents, POA&amp;M status, and any control that is not operating as designed. The report states what is not working as prominently as what is; a monitoring report that only carries good news has stopped being a monitoring report.</w:t>
      </w:r>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Security Officer</w:t>
            </w:r>
          </w:p>
        </w:tc>
        <w:tc>
          <w:tcPr>
            <w:tcW w:type="dxa" w:w="6336"/>
          </w:tcPr>
          <w:p>
            <w:r>
              <w:rPr>
                <w:sz w:val="18"/>
              </w:rPr>
              <w:t>Operates the programme; produces reports; governs suppressions.</w:t>
            </w:r>
          </w:p>
        </w:tc>
      </w:tr>
      <w:tr>
        <w:tc>
          <w:tcPr>
            <w:tcW w:type="dxa" w:w="2592"/>
          </w:tcPr>
          <w:p>
            <w:r>
              <w:rPr>
                <w:sz w:val="18"/>
              </w:rPr>
              <w:t>Engineering</w:t>
            </w:r>
          </w:p>
        </w:tc>
        <w:tc>
          <w:tcPr>
            <w:tcW w:type="dxa" w:w="6336"/>
          </w:tcPr>
          <w:p>
            <w:r>
              <w:rPr>
                <w:sz w:val="18"/>
              </w:rPr>
              <w:t>Performs technical reviews and remediation.</w:t>
            </w:r>
          </w:p>
        </w:tc>
      </w:tr>
      <w:tr>
        <w:tc>
          <w:tcPr>
            <w:tcW w:type="dxa" w:w="2592"/>
          </w:tcPr>
          <w:p>
            <w:r>
              <w:rPr>
                <w:sz w:val="18"/>
              </w:rPr>
              <w:t>CEO</w:t>
            </w:r>
          </w:p>
        </w:tc>
        <w:tc>
          <w:tcPr>
            <w:tcW w:type="dxa" w:w="6336"/>
          </w:tcPr>
          <w:p>
            <w:r>
              <w:rPr>
                <w:sz w:val="18"/>
              </w:rPr>
              <w:t>Reviews quarterly; accepts residual risk; funds remediation.</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800-53</w:t>
            </w:r>
          </w:p>
        </w:tc>
        <w:tc>
          <w:tcPr>
            <w:tcW w:type="dxa" w:w="2160"/>
          </w:tcPr>
          <w:p>
            <w:r>
              <w:rPr>
                <w:sz w:val="18"/>
              </w:rPr>
              <w:t>CA-7, CA-7(1), PM-14, RA-5</w:t>
            </w:r>
          </w:p>
        </w:tc>
        <w:tc>
          <w:tcPr>
            <w:tcW w:type="dxa" w:w="4320"/>
          </w:tcPr>
          <w:p>
            <w:r>
              <w:rPr>
                <w:sz w:val="18"/>
              </w:rPr>
              <w:t>Continuous monitoring, independent assessment, testing programme, scanning.</w:t>
            </w:r>
          </w:p>
        </w:tc>
        <w:tc>
          <w:tcPr>
            <w:tcW w:type="dxa" w:w="1152"/>
          </w:tcPr>
          <w:p>
            <w:r>
              <w:rPr>
                <w:sz w:val="18"/>
              </w:rPr>
              <w:t>Met</w:t>
            </w:r>
          </w:p>
        </w:tc>
      </w:tr>
      <w:tr>
        <w:tc>
          <w:tcPr>
            <w:tcW w:type="dxa" w:w="1584"/>
          </w:tcPr>
          <w:p>
            <w:r>
              <w:rPr>
                <w:sz w:val="18"/>
              </w:rPr>
              <w:t>NIST 800-137</w:t>
            </w:r>
          </w:p>
        </w:tc>
        <w:tc>
          <w:tcPr>
            <w:tcW w:type="dxa" w:w="2160"/>
          </w:tcPr>
          <w:p>
            <w:r>
              <w:rPr>
                <w:sz w:val="18"/>
              </w:rPr>
              <w:t>ISCM</w:t>
            </w:r>
          </w:p>
        </w:tc>
        <w:tc>
          <w:tcPr>
            <w:tcW w:type="dxa" w:w="4320"/>
          </w:tcPr>
          <w:p>
            <w:r>
              <w:rPr>
                <w:sz w:val="18"/>
              </w:rPr>
              <w:t>Information security continuous monitoring strategy.</w:t>
            </w:r>
          </w:p>
        </w:tc>
        <w:tc>
          <w:tcPr>
            <w:tcW w:type="dxa" w:w="1152"/>
          </w:tcPr>
          <w:p>
            <w:r>
              <w:rPr>
                <w:sz w:val="18"/>
              </w:rPr>
              <w:t>Met</w:t>
            </w:r>
          </w:p>
        </w:tc>
      </w:tr>
      <w:tr>
        <w:tc>
          <w:tcPr>
            <w:tcW w:type="dxa" w:w="1584"/>
          </w:tcPr>
          <w:p>
            <w:r>
              <w:rPr>
                <w:sz w:val="18"/>
              </w:rPr>
              <w:t>HIPAA</w:t>
            </w:r>
          </w:p>
        </w:tc>
        <w:tc>
          <w:tcPr>
            <w:tcW w:type="dxa" w:w="2160"/>
          </w:tcPr>
          <w:p>
            <w:r>
              <w:rPr>
                <w:sz w:val="18"/>
              </w:rPr>
              <w:t>164.308(a)(1)(ii)(D)</w:t>
            </w:r>
          </w:p>
        </w:tc>
        <w:tc>
          <w:tcPr>
            <w:tcW w:type="dxa" w:w="4320"/>
          </w:tcPr>
          <w:p>
            <w:r>
              <w:rPr>
                <w:sz w:val="18"/>
              </w:rPr>
              <w:t>Information system activity review.</w:t>
            </w:r>
          </w:p>
        </w:tc>
        <w:tc>
          <w:tcPr>
            <w:tcW w:type="dxa" w:w="1152"/>
          </w:tcPr>
          <w:p>
            <w:r>
              <w:rPr>
                <w:sz w:val="18"/>
              </w:rPr>
              <w:t>Met</w:t>
            </w:r>
          </w:p>
        </w:tc>
      </w:tr>
      <w:tr>
        <w:tc>
          <w:tcPr>
            <w:tcW w:type="dxa" w:w="1584"/>
          </w:tcPr>
          <w:p>
            <w:r>
              <w:rPr>
                <w:sz w:val="18"/>
              </w:rPr>
              <w:t>HIPAA</w:t>
            </w:r>
          </w:p>
        </w:tc>
        <w:tc>
          <w:tcPr>
            <w:tcW w:type="dxa" w:w="2160"/>
          </w:tcPr>
          <w:p>
            <w:r>
              <w:rPr>
                <w:sz w:val="18"/>
              </w:rPr>
              <w:t>164.308(a)(8)</w:t>
            </w:r>
          </w:p>
        </w:tc>
        <w:tc>
          <w:tcPr>
            <w:tcW w:type="dxa" w:w="4320"/>
          </w:tcPr>
          <w:p>
            <w:r>
              <w:rPr>
                <w:sz w:val="18"/>
              </w:rPr>
              <w:t>Periodic technical and non-technical evaluation.</w:t>
            </w:r>
          </w:p>
        </w:tc>
        <w:tc>
          <w:tcPr>
            <w:tcW w:type="dxa" w:w="1152"/>
          </w:tcPr>
          <w:p>
            <w:r>
              <w:rPr>
                <w:sz w:val="18"/>
              </w:rPr>
              <w:t>Met</w:t>
            </w:r>
          </w:p>
        </w:tc>
      </w:tr>
      <w:tr>
        <w:tc>
          <w:tcPr>
            <w:tcW w:type="dxa" w:w="1584"/>
          </w:tcPr>
          <w:p>
            <w:r>
              <w:rPr>
                <w:sz w:val="18"/>
              </w:rPr>
              <w:t>SOC 2</w:t>
            </w:r>
          </w:p>
        </w:tc>
        <w:tc>
          <w:tcPr>
            <w:tcW w:type="dxa" w:w="2160"/>
          </w:tcPr>
          <w:p>
            <w:r>
              <w:rPr>
                <w:sz w:val="18"/>
              </w:rPr>
              <w:t>CC4.1, CC4.2</w:t>
            </w:r>
          </w:p>
        </w:tc>
        <w:tc>
          <w:tcPr>
            <w:tcW w:type="dxa" w:w="4320"/>
          </w:tcPr>
          <w:p>
            <w:r>
              <w:rPr>
                <w:sz w:val="18"/>
              </w:rPr>
              <w:t>Monitoring of controls and communication of deficiencies.</w:t>
            </w:r>
          </w:p>
        </w:tc>
        <w:tc>
          <w:tcPr>
            <w:tcW w:type="dxa" w:w="1152"/>
          </w:tcPr>
          <w:p>
            <w:r>
              <w:rPr>
                <w:sz w:val="18"/>
              </w:rPr>
              <w:t>Met</w:t>
            </w:r>
          </w:p>
        </w:tc>
      </w:tr>
      <w:tr>
        <w:tc>
          <w:tcPr>
            <w:tcW w:type="dxa" w:w="1584"/>
          </w:tcPr>
          <w:p>
            <w:r>
              <w:rPr>
                <w:sz w:val="18"/>
              </w:rPr>
              <w:t>ISO 27001</w:t>
            </w:r>
          </w:p>
        </w:tc>
        <w:tc>
          <w:tcPr>
            <w:tcW w:type="dxa" w:w="2160"/>
          </w:tcPr>
          <w:p>
            <w:r>
              <w:rPr>
                <w:sz w:val="18"/>
              </w:rPr>
              <w:t>Clause 9.1, 9.2, 9.3</w:t>
            </w:r>
          </w:p>
        </w:tc>
        <w:tc>
          <w:tcPr>
            <w:tcW w:type="dxa" w:w="4320"/>
          </w:tcPr>
          <w:p>
            <w:r>
              <w:rPr>
                <w:sz w:val="18"/>
              </w:rPr>
              <w:t>Monitoring and measurement, internal audit, management review.</w:t>
            </w:r>
          </w:p>
        </w:tc>
        <w:tc>
          <w:tcPr>
            <w:tcW w:type="dxa" w:w="1152"/>
          </w:tcPr>
          <w:p>
            <w:r>
              <w:rPr>
                <w:sz w:val="18"/>
              </w:rPr>
              <w:t>Met</w:t>
            </w:r>
          </w:p>
        </w:tc>
      </w:tr>
      <w:tr>
        <w:tc>
          <w:tcPr>
            <w:tcW w:type="dxa" w:w="1584"/>
          </w:tcPr>
          <w:p>
            <w:r>
              <w:rPr>
                <w:sz w:val="18"/>
              </w:rPr>
              <w:t>CMMI L3</w:t>
            </w:r>
          </w:p>
        </w:tc>
        <w:tc>
          <w:tcPr>
            <w:tcW w:type="dxa" w:w="2160"/>
          </w:tcPr>
          <w:p>
            <w:r>
              <w:rPr>
                <w:sz w:val="18"/>
              </w:rPr>
              <w:t>MA, PPQA</w:t>
            </w:r>
          </w:p>
        </w:tc>
        <w:tc>
          <w:tcPr>
            <w:tcW w:type="dxa" w:w="4320"/>
          </w:tcPr>
          <w:p>
            <w:r>
              <w:rPr>
                <w:sz w:val="18"/>
              </w:rPr>
              <w:t>Measurement and analysis; process and product quality assurance.</w:t>
            </w:r>
          </w:p>
        </w:tc>
        <w:tc>
          <w:tcPr>
            <w:tcW w:type="dxa" w:w="1152"/>
          </w:tcPr>
          <w:p>
            <w:r>
              <w:rPr>
                <w:sz w:val="18"/>
              </w:rPr>
              <w:t>Met</w:t>
            </w:r>
          </w:p>
        </w:tc>
      </w:tr>
      <w:tr>
        <w:tc>
          <w:tcPr>
            <w:tcW w:type="dxa" w:w="1584"/>
          </w:tcPr>
          <w:p>
            <w:r>
              <w:rPr>
                <w:sz w:val="18"/>
              </w:rPr>
              <w:t>FedRAMP</w:t>
            </w:r>
          </w:p>
        </w:tc>
        <w:tc>
          <w:tcPr>
            <w:tcW w:type="dxa" w:w="2160"/>
          </w:tcPr>
          <w:p>
            <w:r>
              <w:rPr>
                <w:sz w:val="18"/>
              </w:rPr>
              <w:t>CA-7</w:t>
            </w:r>
          </w:p>
        </w:tc>
        <w:tc>
          <w:tcPr>
            <w:tcW w:type="dxa" w:w="4320"/>
          </w:tcPr>
          <w:p>
            <w:r>
              <w:rPr>
                <w:sz w:val="18"/>
              </w:rPr>
              <w:t>Continuous monitoring consistent with the MODERATE baseline.</w:t>
            </w:r>
          </w:p>
        </w:tc>
        <w:tc>
          <w:tcPr>
            <w:tcW w:type="dxa" w:w="1152"/>
          </w:tcPr>
          <w:p>
            <w:r>
              <w:rPr>
                <w:sz w:val="18"/>
              </w:rPr>
              <w:t>Partial</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AGT-RMP-023</w:t>
            </w:r>
          </w:p>
        </w:tc>
        <w:tc>
          <w:tcPr>
            <w:tcW w:type="dxa" w:w="4176"/>
          </w:tcPr>
          <w:p>
            <w:r>
              <w:rPr>
                <w:sz w:val="18"/>
              </w:rPr>
              <w:t>Risk Management Plan</w:t>
            </w:r>
          </w:p>
        </w:tc>
        <w:tc>
          <w:tcPr>
            <w:tcW w:type="dxa" w:w="3168"/>
          </w:tcPr>
          <w:p>
            <w:r>
              <w:rPr>
                <w:sz w:val="18"/>
              </w:rPr>
              <w:t>Risk register maintained through this programme</w:t>
            </w:r>
          </w:p>
        </w:tc>
      </w:tr>
      <w:tr>
        <w:tc>
          <w:tcPr>
            <w:tcW w:type="dxa" w:w="1872"/>
          </w:tcPr>
          <w:p>
            <w:r>
              <w:rPr>
                <w:sz w:val="18"/>
              </w:rPr>
              <w:t>AGT-LMP-018</w:t>
            </w:r>
          </w:p>
        </w:tc>
        <w:tc>
          <w:tcPr>
            <w:tcW w:type="dxa" w:w="4176"/>
          </w:tcPr>
          <w:p>
            <w:r>
              <w:rPr>
                <w:sz w:val="18"/>
              </w:rPr>
              <w:t>Logging and Monitoring Policy</w:t>
            </w:r>
          </w:p>
        </w:tc>
        <w:tc>
          <w:tcPr>
            <w:tcW w:type="dxa" w:w="3168"/>
          </w:tcPr>
          <w:p>
            <w:r>
              <w:rPr>
                <w:sz w:val="18"/>
              </w:rPr>
              <w:t>Provides the monitoring data</w:t>
            </w:r>
          </w:p>
        </w:tc>
      </w:tr>
      <w:tr>
        <w:tc>
          <w:tcPr>
            <w:tcW w:type="dxa" w:w="1872"/>
          </w:tcPr>
          <w:p>
            <w:r>
              <w:rPr>
                <w:sz w:val="18"/>
              </w:rPr>
              <w:t>AGT-SSDLC-015</w:t>
            </w:r>
          </w:p>
        </w:tc>
        <w:tc>
          <w:tcPr>
            <w:tcW w:type="dxa" w:w="4176"/>
          </w:tcPr>
          <w:p>
            <w:r>
              <w:rPr>
                <w:sz w:val="18"/>
              </w:rPr>
              <w:t>Secure SDLC</w:t>
            </w:r>
          </w:p>
        </w:tc>
        <w:tc>
          <w:tcPr>
            <w:tcW w:type="dxa" w:w="3168"/>
          </w:tcPr>
          <w:p>
            <w:r>
              <w:rPr>
                <w:sz w:val="18"/>
              </w:rPr>
              <w:t>Scanning integrated into the pipeline</w:t>
            </w:r>
          </w:p>
        </w:tc>
      </w:tr>
      <w:tr>
        <w:tc>
          <w:tcPr>
            <w:tcW w:type="dxa" w:w="1872"/>
          </w:tcPr>
          <w:p>
            <w:r>
              <w:rPr>
                <w:sz w:val="18"/>
              </w:rPr>
              <w:t>AGT-MCM-026</w:t>
            </w:r>
          </w:p>
        </w:tc>
        <w:tc>
          <w:tcPr>
            <w:tcW w:type="dxa" w:w="4176"/>
          </w:tcPr>
          <w:p>
            <w:r>
              <w:rPr>
                <w:sz w:val="18"/>
              </w:rPr>
              <w:t>Master Compliance Matrix</w:t>
            </w:r>
          </w:p>
        </w:tc>
        <w:tc>
          <w:tcPr>
            <w:tcW w:type="dxa" w:w="3168"/>
          </w:tcPr>
          <w:p>
            <w:r>
              <w:rPr>
                <w:sz w:val="18"/>
              </w:rPr>
              <w:t>Control coverage tracked over time</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AGT-CMS-024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