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2B4C"/>
          <w:sz w:val="88"/>
        </w:rPr>
        <w:t>AGT</w:t>
      </w:r>
    </w:p>
    <w:p>
      <w:pPr>
        <w:jc w:val="center"/>
      </w:pPr>
      <w:r>
        <w:rPr>
          <w:color w:val="5A5A5A"/>
          <w:sz w:val="26"/>
        </w:rPr>
        <w:t>Alliance Global Tech Inc.</w:t>
      </w:r>
    </w:p>
    <w:p/>
    <w:p>
      <w:pPr>
        <w:jc w:val="center"/>
      </w:pPr>
      <w:r>
        <w:rPr>
          <w:b/>
          <w:color w:val="0F2B4C"/>
          <w:sz w:val="48"/>
        </w:rPr>
        <w:t>Change Management Policy</w:t>
      </w:r>
    </w:p>
    <w:p>
      <w:pPr>
        <w:jc w:val="center"/>
      </w:pPr>
      <w:r>
        <w:rPr>
          <w:i/>
          <w:color w:val="0F6CBD"/>
          <w:sz w:val="26"/>
        </w:rPr>
        <w:t>DocuAction TEFCA ARC</w:t>
      </w:r>
    </w:p>
    <w:p/>
    <w:p/>
    <w:p/>
    <w:tbl>
      <w:tblPr>
        <w:tblStyle w:val="TableGrid"/>
        <w:tblW w:type="auto" w:w="0"/>
        <w:jc w:val="center"/>
        <w:tblLook w:firstColumn="1" w:firstRow="1" w:lastColumn="0" w:lastRow="0" w:noHBand="0" w:noVBand="1" w:val="04A0"/>
      </w:tblPr>
      <w:tblGrid>
        <w:gridCol w:w="4680"/>
        <w:gridCol w:w="4680"/>
      </w:tblGrid>
      <w:tr>
        <w:tc>
          <w:tcPr>
            <w:tcW w:type="dxa" w:w="2736"/>
            <w:shd w:val="clear" w:fill="EEF3F8"/>
          </w:tcPr>
          <w:p>
            <w:r>
              <w:rPr>
                <w:b/>
                <w:sz w:val="20"/>
              </w:rPr>
              <w:t>Document ID</w:t>
            </w:r>
          </w:p>
        </w:tc>
        <w:tc>
          <w:tcPr>
            <w:tcW w:type="dxa" w:w="5184"/>
          </w:tcPr>
          <w:p>
            <w:r>
              <w:rPr>
                <w:sz w:val="20"/>
              </w:rPr>
              <w:t>AGT-ChMP-017</w:t>
            </w:r>
          </w:p>
        </w:tc>
      </w:tr>
      <w:tr>
        <w:tc>
          <w:tcPr>
            <w:tcW w:type="dxa" w:w="2736"/>
            <w:shd w:val="clear" w:fill="EEF3F8"/>
          </w:tcPr>
          <w:p>
            <w:r>
              <w:rPr>
                <w:b/>
                <w:sz w:val="20"/>
              </w:rPr>
              <w:t>Version</w:t>
            </w:r>
          </w:p>
        </w:tc>
        <w:tc>
          <w:tcPr>
            <w:tcW w:type="dxa" w:w="5184"/>
          </w:tcPr>
          <w:p>
            <w:r>
              <w:rPr>
                <w:sz w:val="20"/>
              </w:rPr>
              <w:t>1.0</w:t>
            </w:r>
          </w:p>
        </w:tc>
      </w:tr>
      <w:tr>
        <w:tc>
          <w:tcPr>
            <w:tcW w:type="dxa" w:w="2736"/>
            <w:shd w:val="clear" w:fill="EEF3F8"/>
          </w:tcPr>
          <w:p>
            <w:r>
              <w:rPr>
                <w:b/>
                <w:sz w:val="20"/>
              </w:rPr>
              <w:t>Effective date</w:t>
            </w:r>
          </w:p>
        </w:tc>
        <w:tc>
          <w:tcPr>
            <w:tcW w:type="dxa" w:w="5184"/>
          </w:tcPr>
          <w:p>
            <w:r>
              <w:rPr>
                <w:sz w:val="20"/>
              </w:rPr>
              <w:t>2026-07-28</w:t>
            </w:r>
          </w:p>
        </w:tc>
      </w:tr>
      <w:tr>
        <w:tc>
          <w:tcPr>
            <w:tcW w:type="dxa" w:w="2736"/>
            <w:shd w:val="clear" w:fill="EEF3F8"/>
          </w:tcPr>
          <w:p>
            <w:r>
              <w:rPr>
                <w:b/>
                <w:sz w:val="20"/>
              </w:rPr>
              <w:t>Classification</w:t>
            </w:r>
          </w:p>
        </w:tc>
        <w:tc>
          <w:tcPr>
            <w:tcW w:type="dxa" w:w="5184"/>
          </w:tcPr>
          <w:p>
            <w:r>
              <w:rPr>
                <w:sz w:val="20"/>
              </w:rPr>
              <w:t>Internal</w:t>
            </w:r>
          </w:p>
        </w:tc>
      </w:tr>
      <w:tr>
        <w:tc>
          <w:tcPr>
            <w:tcW w:type="dxa" w:w="2736"/>
            <w:shd w:val="clear" w:fill="EEF3F8"/>
          </w:tcPr>
          <w:p>
            <w:r>
              <w:rPr>
                <w:b/>
                <w:sz w:val="20"/>
              </w:rPr>
              <w:t>Owner</w:t>
            </w:r>
          </w:p>
        </w:tc>
        <w:tc>
          <w:tcPr>
            <w:tcW w:type="dxa" w:w="5184"/>
          </w:tcPr>
          <w:p>
            <w:r>
              <w:rPr>
                <w:sz w:val="20"/>
              </w:rPr>
              <w:t>Chief Executive Officer, AGT</w:t>
            </w:r>
          </w:p>
        </w:tc>
      </w:tr>
      <w:tr>
        <w:tc>
          <w:tcPr>
            <w:tcW w:type="dxa" w:w="2736"/>
            <w:shd w:val="clear" w:fill="EEF3F8"/>
          </w:tcPr>
          <w:p>
            <w:r>
              <w:rPr>
                <w:b/>
                <w:sz w:val="20"/>
              </w:rPr>
              <w:t>Approved by</w:t>
            </w:r>
          </w:p>
        </w:tc>
        <w:tc>
          <w:tcPr>
            <w:tcW w:type="dxa" w:w="5184"/>
          </w:tcPr>
          <w:p>
            <w:r>
              <w:rPr>
                <w:sz w:val="20"/>
              </w:rPr>
              <w:t>Imran Siddiqui</w:t>
            </w:r>
          </w:p>
        </w:tc>
      </w:tr>
      <w:tr>
        <w:tc>
          <w:tcPr>
            <w:tcW w:type="dxa" w:w="2736"/>
            <w:shd w:val="clear" w:fill="EEF3F8"/>
          </w:tcPr>
          <w:p>
            <w:r>
              <w:rPr>
                <w:b/>
                <w:sz w:val="20"/>
              </w:rPr>
              <w:t>Review cycle</w:t>
            </w:r>
          </w:p>
        </w:tc>
        <w:tc>
          <w:tcPr>
            <w:tcW w:type="dxa" w:w="5184"/>
          </w:tcPr>
          <w:p>
            <w:r>
              <w:rPr>
                <w:sz w:val="20"/>
              </w:rPr>
              <w:t>Annual, or on material change</w:t>
            </w:r>
          </w:p>
        </w:tc>
      </w:tr>
    </w:tbl>
    <w:p>
      <w:r>
        <w:br w:type="page"/>
      </w:r>
    </w:p>
    <w:p>
      <w:pPr>
        <w:pStyle w:val="Heading1"/>
      </w:pPr>
      <w:r>
        <w:t>1. Purpose</w:t>
      </w:r>
    </w:p>
    <w:p>
      <w:r>
        <w:t>This policy governs how changes to AGT production systems are proposed, assessed, approved, implemented, verified, and reversed. It aligns with ISO 20000-1 service management expectations and CMMI Level 3 configuration management.</w:t>
      </w:r>
    </w:p>
    <w:p>
      <w:pPr>
        <w:pStyle w:val="Heading1"/>
      </w:pPr>
      <w:r>
        <w:t>2. Scope</w:t>
      </w:r>
    </w:p>
    <w:p>
      <w:r>
        <w:t>This policy applies to all Alliance Global Tech Inc. (AGT) personnel, contractors, and third parties who access, operate, or support the DocuAction TEFCA ARC platform or its supporting Azure infrastructure. It covers production, development, and any environment holding customer data, protected health information (PHI), or controlled unclassified information (CUI).</w:t>
      </w:r>
    </w:p>
    <w:p>
      <w:pPr>
        <w:pStyle w:val="Heading2"/>
      </w:pPr>
      <w:r>
        <w:t>System context</w:t>
      </w:r>
    </w:p>
    <w:p>
      <w:r>
        <w:t>This document applies to DocuAction TEFCA ARC, operated by Alliance Global Tech Inc. on Microsoft Azure. The control descriptions in this document are written against the following implementation, not against a generic reference architecture.</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Layer</w:t>
            </w:r>
          </w:p>
        </w:tc>
        <w:tc>
          <w:tcPr>
            <w:tcW w:type="dxa" w:w="6336"/>
            <w:shd w:val="clear" w:fill="0F2B4C"/>
          </w:tcPr>
          <w:p>
            <w:r>
              <w:rPr>
                <w:b/>
                <w:color w:val="FFFFFF"/>
                <w:sz w:val="18"/>
              </w:rPr>
              <w:t>Implementation</w:t>
            </w:r>
          </w:p>
        </w:tc>
      </w:tr>
      <w:tr>
        <w:tc>
          <w:tcPr>
            <w:tcW w:type="dxa" w:w="2592"/>
          </w:tcPr>
          <w:p>
            <w:r>
              <w:rPr>
                <w:sz w:val="18"/>
              </w:rPr>
              <w:t>Frontend</w:t>
            </w:r>
          </w:p>
        </w:tc>
        <w:tc>
          <w:tcPr>
            <w:tcW w:type="dxa" w:w="6336"/>
          </w:tcPr>
          <w:p>
            <w:r>
              <w:rPr>
                <w:sz w:val="18"/>
              </w:rPr>
              <w:t>Next.js 14 (React), static export, Azure Static Web Apps</w:t>
            </w:r>
          </w:p>
        </w:tc>
      </w:tr>
      <w:tr>
        <w:tc>
          <w:tcPr>
            <w:tcW w:type="dxa" w:w="2592"/>
          </w:tcPr>
          <w:p>
            <w:r>
              <w:rPr>
                <w:sz w:val="18"/>
              </w:rPr>
              <w:t>Backend</w:t>
            </w:r>
          </w:p>
        </w:tc>
        <w:tc>
          <w:tcPr>
            <w:tcW w:type="dxa" w:w="6336"/>
          </w:tcPr>
          <w:p>
            <w:r>
              <w:rPr>
                <w:sz w:val="18"/>
              </w:rPr>
              <w:t>FastAPI on Python 3.12, Azure App Service (Linux)</w:t>
            </w:r>
          </w:p>
        </w:tc>
      </w:tr>
      <w:tr>
        <w:tc>
          <w:tcPr>
            <w:tcW w:type="dxa" w:w="2592"/>
          </w:tcPr>
          <w:p>
            <w:r>
              <w:rPr>
                <w:sz w:val="18"/>
              </w:rPr>
              <w:t>Database</w:t>
            </w:r>
          </w:p>
        </w:tc>
        <w:tc>
          <w:tcPr>
            <w:tcW w:type="dxa" w:w="6336"/>
          </w:tcPr>
          <w:p>
            <w:r>
              <w:rPr>
                <w:sz w:val="18"/>
              </w:rPr>
              <w:t>Azure Database for PostgreSQL - Flexible Server, geo-redundant</w:t>
            </w:r>
          </w:p>
        </w:tc>
      </w:tr>
      <w:tr>
        <w:tc>
          <w:tcPr>
            <w:tcW w:type="dxa" w:w="2592"/>
          </w:tcPr>
          <w:p>
            <w:r>
              <w:rPr>
                <w:sz w:val="18"/>
              </w:rPr>
              <w:t>Identity</w:t>
            </w:r>
          </w:p>
        </w:tc>
        <w:tc>
          <w:tcPr>
            <w:tcW w:type="dxa" w:w="6336"/>
          </w:tcPr>
          <w:p>
            <w:r>
              <w:rPr>
                <w:sz w:val="18"/>
              </w:rPr>
              <w:t>Microsoft Entra ID; OAuth 2.0, OIDC, JWT bearer, RBAC, MFA</w:t>
            </w:r>
          </w:p>
        </w:tc>
      </w:tr>
      <w:tr>
        <w:tc>
          <w:tcPr>
            <w:tcW w:type="dxa" w:w="2592"/>
          </w:tcPr>
          <w:p>
            <w:r>
              <w:rPr>
                <w:sz w:val="18"/>
              </w:rPr>
              <w:t>Secrets</w:t>
            </w:r>
          </w:p>
        </w:tc>
        <w:tc>
          <w:tcPr>
            <w:tcW w:type="dxa" w:w="6336"/>
          </w:tcPr>
          <w:p>
            <w:r>
              <w:rPr>
                <w:sz w:val="18"/>
              </w:rPr>
              <w:t>Azure Key Vault, resolved at runtime by system-assigned managed identity</w:t>
            </w:r>
          </w:p>
        </w:tc>
      </w:tr>
      <w:tr>
        <w:tc>
          <w:tcPr>
            <w:tcW w:type="dxa" w:w="2592"/>
          </w:tcPr>
          <w:p>
            <w:r>
              <w:rPr>
                <w:sz w:val="18"/>
              </w:rPr>
              <w:t>Monitoring</w:t>
            </w:r>
          </w:p>
        </w:tc>
        <w:tc>
          <w:tcPr>
            <w:tcW w:type="dxa" w:w="6336"/>
          </w:tcPr>
          <w:p>
            <w:r>
              <w:rPr>
                <w:sz w:val="18"/>
              </w:rPr>
              <w:t>Azure Monitor and Application Insights</w:t>
            </w:r>
          </w:p>
        </w:tc>
      </w:tr>
      <w:tr>
        <w:tc>
          <w:tcPr>
            <w:tcW w:type="dxa" w:w="2592"/>
          </w:tcPr>
          <w:p>
            <w:r>
              <w:rPr>
                <w:sz w:val="18"/>
              </w:rPr>
              <w:t>Healthcare standards</w:t>
            </w:r>
          </w:p>
        </w:tc>
        <w:tc>
          <w:tcPr>
            <w:tcW w:type="dxa" w:w="6336"/>
          </w:tcPr>
          <w:p>
            <w:r>
              <w:rPr>
                <w:sz w:val="18"/>
              </w:rPr>
              <w:t>FHIR R4, HL7, TEFCA Common Agreement / RCE IG v1.14.0</w:t>
            </w:r>
          </w:p>
        </w:tc>
      </w:tr>
      <w:tr>
        <w:tc>
          <w:tcPr>
            <w:tcW w:type="dxa" w:w="2592"/>
          </w:tcPr>
          <w:p>
            <w:r>
              <w:rPr>
                <w:sz w:val="18"/>
              </w:rPr>
              <w:t>Certifications</w:t>
            </w:r>
          </w:p>
        </w:tc>
        <w:tc>
          <w:tcPr>
            <w:tcW w:type="dxa" w:w="6336"/>
          </w:tcPr>
          <w:p>
            <w:r>
              <w:rPr>
                <w:sz w:val="18"/>
              </w:rPr>
              <w:t>CMMI Level 3, ISO 27001, ISO 9001, ISO 20000-1, DoD Final Contractor</w:t>
            </w:r>
          </w:p>
        </w:tc>
      </w:tr>
    </w:tbl>
    <w:p/>
    <w:p>
      <w:pPr>
        <w:pStyle w:val="Heading1"/>
      </w:pPr>
      <w:r>
        <w:t>3. Change categories</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fill="0F2B4C"/>
          </w:tcPr>
          <w:p>
            <w:r>
              <w:rPr>
                <w:b/>
                <w:color w:val="FFFFFF"/>
                <w:sz w:val="18"/>
              </w:rPr>
              <w:t>Category</w:t>
            </w:r>
          </w:p>
        </w:tc>
        <w:tc>
          <w:tcPr>
            <w:tcW w:type="dxa" w:w="3456"/>
            <w:shd w:val="clear" w:fill="0F2B4C"/>
          </w:tcPr>
          <w:p>
            <w:r>
              <w:rPr>
                <w:b/>
                <w:color w:val="FFFFFF"/>
                <w:sz w:val="18"/>
              </w:rPr>
              <w:t>Definition</w:t>
            </w:r>
          </w:p>
        </w:tc>
        <w:tc>
          <w:tcPr>
            <w:tcW w:type="dxa" w:w="2160"/>
            <w:shd w:val="clear" w:fill="0F2B4C"/>
          </w:tcPr>
          <w:p>
            <w:r>
              <w:rPr>
                <w:b/>
                <w:color w:val="FFFFFF"/>
                <w:sz w:val="18"/>
              </w:rPr>
              <w:t>Approval</w:t>
            </w:r>
          </w:p>
        </w:tc>
        <w:tc>
          <w:tcPr>
            <w:tcW w:type="dxa" w:w="1728"/>
            <w:shd w:val="clear" w:fill="0F2B4C"/>
          </w:tcPr>
          <w:p>
            <w:r>
              <w:rPr>
                <w:b/>
                <w:color w:val="FFFFFF"/>
                <w:sz w:val="18"/>
              </w:rPr>
              <w:t>Lead time</w:t>
            </w:r>
          </w:p>
        </w:tc>
      </w:tr>
      <w:tr>
        <w:tc>
          <w:tcPr>
            <w:tcW w:type="dxa" w:w="1584"/>
          </w:tcPr>
          <w:p>
            <w:r>
              <w:rPr>
                <w:sz w:val="18"/>
              </w:rPr>
              <w:t>Standard</w:t>
            </w:r>
          </w:p>
        </w:tc>
        <w:tc>
          <w:tcPr>
            <w:tcW w:type="dxa" w:w="3456"/>
          </w:tcPr>
          <w:p>
            <w:r>
              <w:rPr>
                <w:sz w:val="18"/>
              </w:rPr>
              <w:t>Pre-approved, repeatable, low risk, documented procedure</w:t>
            </w:r>
          </w:p>
        </w:tc>
        <w:tc>
          <w:tcPr>
            <w:tcW w:type="dxa" w:w="2160"/>
          </w:tcPr>
          <w:p>
            <w:r>
              <w:rPr>
                <w:sz w:val="18"/>
              </w:rPr>
              <w:t>Pre-approved</w:t>
            </w:r>
          </w:p>
        </w:tc>
        <w:tc>
          <w:tcPr>
            <w:tcW w:type="dxa" w:w="1728"/>
          </w:tcPr>
          <w:p>
            <w:r>
              <w:rPr>
                <w:sz w:val="18"/>
              </w:rPr>
              <w:t>None</w:t>
            </w:r>
          </w:p>
        </w:tc>
      </w:tr>
      <w:tr>
        <w:tc>
          <w:tcPr>
            <w:tcW w:type="dxa" w:w="1584"/>
          </w:tcPr>
          <w:p>
            <w:r>
              <w:rPr>
                <w:sz w:val="18"/>
              </w:rPr>
              <w:t>Normal</w:t>
            </w:r>
          </w:p>
        </w:tc>
        <w:tc>
          <w:tcPr>
            <w:tcW w:type="dxa" w:w="3456"/>
          </w:tcPr>
          <w:p>
            <w:r>
              <w:rPr>
                <w:sz w:val="18"/>
              </w:rPr>
              <w:t>Any change to production not pre-approved</w:t>
            </w:r>
          </w:p>
        </w:tc>
        <w:tc>
          <w:tcPr>
            <w:tcW w:type="dxa" w:w="2160"/>
          </w:tcPr>
          <w:p>
            <w:r>
              <w:rPr>
                <w:sz w:val="18"/>
              </w:rPr>
              <w:t>Change Advisory Board</w:t>
            </w:r>
          </w:p>
        </w:tc>
        <w:tc>
          <w:tcPr>
            <w:tcW w:type="dxa" w:w="1728"/>
          </w:tcPr>
          <w:p>
            <w:r>
              <w:rPr>
                <w:sz w:val="18"/>
              </w:rPr>
              <w:t>3 business days</w:t>
            </w:r>
          </w:p>
        </w:tc>
      </w:tr>
      <w:tr>
        <w:tc>
          <w:tcPr>
            <w:tcW w:type="dxa" w:w="1584"/>
          </w:tcPr>
          <w:p>
            <w:r>
              <w:rPr>
                <w:sz w:val="18"/>
              </w:rPr>
              <w:t>Major</w:t>
            </w:r>
          </w:p>
        </w:tc>
        <w:tc>
          <w:tcPr>
            <w:tcW w:type="dxa" w:w="3456"/>
          </w:tcPr>
          <w:p>
            <w:r>
              <w:rPr>
                <w:sz w:val="18"/>
              </w:rPr>
              <w:t>Architecture, authorization boundary, or data model change</w:t>
            </w:r>
          </w:p>
        </w:tc>
        <w:tc>
          <w:tcPr>
            <w:tcW w:type="dxa" w:w="2160"/>
          </w:tcPr>
          <w:p>
            <w:r>
              <w:rPr>
                <w:sz w:val="18"/>
              </w:rPr>
              <w:t>CAB + CEO</w:t>
            </w:r>
          </w:p>
        </w:tc>
        <w:tc>
          <w:tcPr>
            <w:tcW w:type="dxa" w:w="1728"/>
          </w:tcPr>
          <w:p>
            <w:r>
              <w:rPr>
                <w:sz w:val="18"/>
              </w:rPr>
              <w:t>10 business days</w:t>
            </w:r>
          </w:p>
        </w:tc>
      </w:tr>
      <w:tr>
        <w:tc>
          <w:tcPr>
            <w:tcW w:type="dxa" w:w="1584"/>
          </w:tcPr>
          <w:p>
            <w:r>
              <w:rPr>
                <w:sz w:val="18"/>
              </w:rPr>
              <w:t>Emergency</w:t>
            </w:r>
          </w:p>
        </w:tc>
        <w:tc>
          <w:tcPr>
            <w:tcW w:type="dxa" w:w="3456"/>
          </w:tcPr>
          <w:p>
            <w:r>
              <w:rPr>
                <w:sz w:val="18"/>
              </w:rPr>
              <w:t>Required to restore service or close an active exploit</w:t>
            </w:r>
          </w:p>
        </w:tc>
        <w:tc>
          <w:tcPr>
            <w:tcW w:type="dxa" w:w="2160"/>
          </w:tcPr>
          <w:p>
            <w:r>
              <w:rPr>
                <w:sz w:val="18"/>
              </w:rPr>
              <w:t>CEO or delegate, retrospective CAB</w:t>
            </w:r>
          </w:p>
        </w:tc>
        <w:tc>
          <w:tcPr>
            <w:tcW w:type="dxa" w:w="1728"/>
          </w:tcPr>
          <w:p>
            <w:r>
              <w:rPr>
                <w:sz w:val="18"/>
              </w:rPr>
              <w:t>Immediate</w:t>
            </w:r>
          </w:p>
        </w:tc>
      </w:tr>
    </w:tbl>
    <w:p/>
    <w:p>
      <w:pPr>
        <w:pStyle w:val="Heading1"/>
      </w:pPr>
      <w:r>
        <w:t>4. Request for change</w:t>
      </w:r>
    </w:p>
    <w:p>
      <w:r>
        <w:t>Every normal, major, and emergency change is recorded with the following, and a change without a stated rollback is not approved:</w:t>
      </w:r>
    </w:p>
    <w:p>
      <w:pPr>
        <w:pStyle w:val="ListNumber"/>
      </w:pPr>
      <w:r>
        <w:t>Description and business justification.</w:t>
      </w:r>
    </w:p>
    <w:p>
      <w:pPr>
        <w:pStyle w:val="ListNumber"/>
      </w:pPr>
      <w:r>
        <w:t>Systems and data classes affected.</w:t>
      </w:r>
    </w:p>
    <w:p>
      <w:pPr>
        <w:pStyle w:val="ListNumber"/>
      </w:pPr>
      <w:r>
        <w:t>Risk assessment, including what breaks if it fails.</w:t>
      </w:r>
    </w:p>
    <w:p>
      <w:pPr>
        <w:pStyle w:val="ListNumber"/>
      </w:pPr>
      <w:r>
        <w:t>Test evidence from a non-production environment.</w:t>
      </w:r>
    </w:p>
    <w:p>
      <w:pPr>
        <w:pStyle w:val="ListNumber"/>
      </w:pPr>
      <w:r>
        <w:t>Implementation steps.</w:t>
      </w:r>
    </w:p>
    <w:p>
      <w:pPr>
        <w:pStyle w:val="ListNumber"/>
      </w:pPr>
      <w:r>
        <w:t>Verification steps, including at least one check unique to the new state.</w:t>
      </w:r>
    </w:p>
    <w:p>
      <w:pPr>
        <w:pStyle w:val="ListNumber"/>
      </w:pPr>
      <w:r>
        <w:t>Rollback procedure and the point of no return.</w:t>
      </w:r>
    </w:p>
    <w:p>
      <w:pPr>
        <w:pStyle w:val="ListNumber"/>
      </w:pPr>
      <w:r>
        <w:t>Requested window and expected user impact.</w:t>
      </w:r>
    </w:p>
    <w:p>
      <w:pPr>
        <w:pStyle w:val="Heading1"/>
      </w:pPr>
      <w:r>
        <w:t>5. Change Advisory Board</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Member</w:t>
            </w:r>
          </w:p>
        </w:tc>
        <w:tc>
          <w:tcPr>
            <w:tcW w:type="dxa" w:w="6336"/>
            <w:shd w:val="clear" w:fill="0F2B4C"/>
          </w:tcPr>
          <w:p>
            <w:r>
              <w:rPr>
                <w:b/>
                <w:color w:val="FFFFFF"/>
                <w:sz w:val="18"/>
              </w:rPr>
              <w:t>Role in review</w:t>
            </w:r>
          </w:p>
        </w:tc>
      </w:tr>
      <w:tr>
        <w:tc>
          <w:tcPr>
            <w:tcW w:type="dxa" w:w="2592"/>
          </w:tcPr>
          <w:p>
            <w:r>
              <w:rPr>
                <w:sz w:val="18"/>
              </w:rPr>
              <w:t>CEO or delegate</w:t>
            </w:r>
          </w:p>
        </w:tc>
        <w:tc>
          <w:tcPr>
            <w:tcW w:type="dxa" w:w="6336"/>
          </w:tcPr>
          <w:p>
            <w:r>
              <w:rPr>
                <w:sz w:val="18"/>
              </w:rPr>
              <w:t>Chair; approves major and emergency changes</w:t>
            </w:r>
          </w:p>
        </w:tc>
      </w:tr>
      <w:tr>
        <w:tc>
          <w:tcPr>
            <w:tcW w:type="dxa" w:w="2592"/>
          </w:tcPr>
          <w:p>
            <w:r>
              <w:rPr>
                <w:sz w:val="18"/>
              </w:rPr>
              <w:t>Security Officer</w:t>
            </w:r>
          </w:p>
        </w:tc>
        <w:tc>
          <w:tcPr>
            <w:tcW w:type="dxa" w:w="6336"/>
          </w:tcPr>
          <w:p>
            <w:r>
              <w:rPr>
                <w:sz w:val="18"/>
              </w:rPr>
              <w:t>Assesses security and compliance impact</w:t>
            </w:r>
          </w:p>
        </w:tc>
      </w:tr>
      <w:tr>
        <w:tc>
          <w:tcPr>
            <w:tcW w:type="dxa" w:w="2592"/>
          </w:tcPr>
          <w:p>
            <w:r>
              <w:rPr>
                <w:sz w:val="18"/>
              </w:rPr>
              <w:t>Engineering lead</w:t>
            </w:r>
          </w:p>
        </w:tc>
        <w:tc>
          <w:tcPr>
            <w:tcW w:type="dxa" w:w="6336"/>
          </w:tcPr>
          <w:p>
            <w:r>
              <w:rPr>
                <w:sz w:val="18"/>
              </w:rPr>
              <w:t>Assesses technical risk and rollback viability</w:t>
            </w:r>
          </w:p>
        </w:tc>
      </w:tr>
      <w:tr>
        <w:tc>
          <w:tcPr>
            <w:tcW w:type="dxa" w:w="2592"/>
          </w:tcPr>
          <w:p>
            <w:r>
              <w:rPr>
                <w:sz w:val="18"/>
              </w:rPr>
              <w:t>Privacy Officer</w:t>
            </w:r>
          </w:p>
        </w:tc>
        <w:tc>
          <w:tcPr>
            <w:tcW w:type="dxa" w:w="6336"/>
          </w:tcPr>
          <w:p>
            <w:r>
              <w:rPr>
                <w:sz w:val="18"/>
              </w:rPr>
              <w:t>Consulted where PHI handling changes</w:t>
            </w:r>
          </w:p>
        </w:tc>
      </w:tr>
    </w:tbl>
    <w:p/>
    <w:p>
      <w:pPr>
        <w:pStyle w:val="Heading1"/>
      </w:pPr>
      <w:r>
        <w:t>6. Deployment controls</w:t>
      </w:r>
    </w:p>
    <w:p>
      <w:r>
        <w:t>Production deployment is performed by the CI/CD pipeline from a tagged commit. Direct interactive deployment is an exception requiring documented approval.</w:t>
      </w:r>
    </w:p>
    <w:tbl>
      <w:tblPr>
        <w:tblStyle w:val="TableGrid"/>
        <w:tblW w:type="auto" w:w="0"/>
        <w:tblLook w:firstColumn="1" w:firstRow="1" w:lastColumn="0" w:lastRow="0" w:noHBand="0" w:noVBand="1" w:val="04A0"/>
      </w:tblPr>
      <w:tblGrid>
        <w:gridCol w:w="2340"/>
        <w:gridCol w:w="2340"/>
        <w:gridCol w:w="2340"/>
        <w:gridCol w:w="2340"/>
      </w:tblGrid>
      <w:tr>
        <w:tc>
          <w:tcPr>
            <w:tcW w:type="dxa" w:w="1728"/>
            <w:shd w:val="clear" w:fill="0F2B4C"/>
          </w:tcPr>
          <w:p>
            <w:r>
              <w:rPr>
                <w:b/>
                <w:color w:val="FFFFFF"/>
                <w:sz w:val="18"/>
              </w:rPr>
              <w:t>Environment</w:t>
            </w:r>
          </w:p>
        </w:tc>
        <w:tc>
          <w:tcPr>
            <w:tcW w:type="dxa" w:w="2736"/>
            <w:shd w:val="clear" w:fill="0F2B4C"/>
          </w:tcPr>
          <w:p>
            <w:r>
              <w:rPr>
                <w:b/>
                <w:color w:val="FFFFFF"/>
                <w:sz w:val="18"/>
              </w:rPr>
              <w:t>Deployment method</w:t>
            </w:r>
          </w:p>
        </w:tc>
        <w:tc>
          <w:tcPr>
            <w:tcW w:type="dxa" w:w="1296"/>
            <w:shd w:val="clear" w:fill="0F2B4C"/>
          </w:tcPr>
          <w:p>
            <w:r>
              <w:rPr>
                <w:b/>
                <w:color w:val="FFFFFF"/>
                <w:sz w:val="18"/>
              </w:rPr>
              <w:t>Replace flag</w:t>
            </w:r>
          </w:p>
        </w:tc>
        <w:tc>
          <w:tcPr>
            <w:tcW w:type="dxa" w:w="3168"/>
            <w:shd w:val="clear" w:fill="0F2B4C"/>
          </w:tcPr>
          <w:p>
            <w:r>
              <w:rPr>
                <w:b/>
                <w:color w:val="FFFFFF"/>
                <w:sz w:val="18"/>
              </w:rPr>
              <w:t>Why</w:t>
            </w:r>
          </w:p>
        </w:tc>
      </w:tr>
      <w:tr>
        <w:tc>
          <w:tcPr>
            <w:tcW w:type="dxa" w:w="1728"/>
          </w:tcPr>
          <w:p>
            <w:r>
              <w:rPr>
                <w:sz w:val="18"/>
              </w:rPr>
              <w:t>Production</w:t>
            </w:r>
          </w:p>
        </w:tc>
        <w:tc>
          <w:tcPr>
            <w:tcW w:type="dxa" w:w="2736"/>
          </w:tcPr>
          <w:p>
            <w:r>
              <w:rPr>
                <w:sz w:val="18"/>
              </w:rPr>
              <w:t>Zip deploy of a pre-built artifact</w:t>
            </w:r>
          </w:p>
        </w:tc>
        <w:tc>
          <w:tcPr>
            <w:tcW w:type="dxa" w:w="1296"/>
          </w:tcPr>
          <w:p>
            <w:r>
              <w:rPr>
                <w:sz w:val="18"/>
              </w:rPr>
              <w:t>Required</w:t>
            </w:r>
          </w:p>
        </w:tc>
        <w:tc>
          <w:tcPr>
            <w:tcW w:type="dxa" w:w="3168"/>
          </w:tcPr>
          <w:p>
            <w:r>
              <w:rPr>
                <w:sz w:val="18"/>
              </w:rPr>
              <w:t>Without it the deployment overlays and stale components persist, corrupting the SBOM and dependency scan</w:t>
            </w:r>
          </w:p>
        </w:tc>
      </w:tr>
      <w:tr>
        <w:tc>
          <w:tcPr>
            <w:tcW w:type="dxa" w:w="1728"/>
          </w:tcPr>
          <w:p>
            <w:r>
              <w:rPr>
                <w:sz w:val="18"/>
              </w:rPr>
              <w:t>Development</w:t>
            </w:r>
          </w:p>
        </w:tc>
        <w:tc>
          <w:tcPr>
            <w:tcW w:type="dxa" w:w="2736"/>
          </w:tcPr>
          <w:p>
            <w:r>
              <w:rPr>
                <w:sz w:val="18"/>
              </w:rPr>
              <w:t>Zip deploy with build-on-deploy</w:t>
            </w:r>
          </w:p>
        </w:tc>
        <w:tc>
          <w:tcPr>
            <w:tcW w:type="dxa" w:w="1296"/>
          </w:tcPr>
          <w:p>
            <w:r>
              <w:rPr>
                <w:sz w:val="18"/>
              </w:rPr>
              <w:t>Prohibited</w:t>
            </w:r>
          </w:p>
        </w:tc>
        <w:tc>
          <w:tcPr>
            <w:tcW w:type="dxa" w:w="3168"/>
          </w:tcPr>
          <w:p>
            <w:r>
              <w:rPr>
                <w:sz w:val="18"/>
              </w:rPr>
              <w:t>It deletes the build manifest the startup script needs, producing a crash loop and a 503</w:t>
            </w:r>
          </w:p>
        </w:tc>
      </w:tr>
    </w:tbl>
    <w:p/>
    <w:p>
      <w:r>
        <w:rPr>
          <w:i/>
          <w:color w:val="5A5A5A"/>
          <w:sz w:val="19"/>
        </w:rPr>
        <w:t>This asymmetry has caused a dev outage. The correct flag depends on the environment's build mode, not on preference, and is the single most important operational detail in this policy.</w:t>
      </w:r>
    </w:p>
    <w:p>
      <w:pPr>
        <w:pStyle w:val="Heading1"/>
      </w:pPr>
      <w:r>
        <w:t>7. Verification after change</w:t>
      </w:r>
    </w:p>
    <w:p>
      <w:pPr>
        <w:pStyle w:val="ListBullet"/>
      </w:pPr>
      <w:r>
        <w:t>Confirm the deployment record server-side. The deployment CLI can report a connection failure while the deployment is still succeeding, so its exit status is not authoritative.</w:t>
      </w:r>
    </w:p>
    <w:p>
      <w:pPr>
        <w:pStyle w:val="ListBullet"/>
      </w:pPr>
      <w:r>
        <w:t>Never re-run a deployment to obtain a cleaner error message. A second concurrent build on the same application collides with the first and produces a real failure from a false one.</w:t>
      </w:r>
    </w:p>
    <w:p>
      <w:pPr>
        <w:pStyle w:val="ListBullet"/>
      </w:pPr>
      <w:r>
        <w:t>Verify with an endpoint that exists only in the new build. The health endpoint answers from the old code throughout and proves nothing about the change.</w:t>
      </w:r>
    </w:p>
    <w:p>
      <w:pPr>
        <w:pStyle w:val="ListBullet"/>
      </w:pPr>
      <w:r>
        <w:t>Development environments may require an explicit restart to load the new build.</w:t>
      </w:r>
    </w:p>
    <w:p>
      <w:pPr>
        <w:pStyle w:val="Heading1"/>
      </w:pPr>
      <w:r>
        <w:t>8. Emergency change</w:t>
      </w:r>
    </w:p>
    <w:p>
      <w:pPr>
        <w:pStyle w:val="ListNumber"/>
      </w:pPr>
      <w:r>
        <w:t>Implement the minimum change required to restore service or stop an exploit.</w:t>
      </w:r>
    </w:p>
    <w:p>
      <w:pPr>
        <w:pStyle w:val="ListNumber"/>
      </w:pPr>
      <w:r>
        <w:t>Notify the CEO and Security Officer at the time of implementation, not afterwards.</w:t>
      </w:r>
    </w:p>
    <w:p>
      <w:pPr>
        <w:pStyle w:val="ListNumber"/>
      </w:pPr>
      <w:r>
        <w:t>Record the change within 24 hours with full detail.</w:t>
      </w:r>
    </w:p>
    <w:p>
      <w:pPr>
        <w:pStyle w:val="ListNumber"/>
      </w:pPr>
      <w:r>
        <w:t>Present to the next CAB for retrospective review.</w:t>
      </w:r>
    </w:p>
    <w:p>
      <w:pPr>
        <w:pStyle w:val="ListNumber"/>
      </w:pPr>
      <w:r>
        <w:t>Where the emergency change bypassed a control, record it as a finding and restore the control.</w:t>
      </w:r>
    </w:p>
    <w:p>
      <w:pPr>
        <w:pStyle w:val="Heading1"/>
      </w:pPr>
      <w:r>
        <w:t>9. Rollback</w:t>
      </w:r>
    </w:p>
    <w:p>
      <w:r>
        <w:t>Rollback is redeployment of the previous tag. Database migrations complicate this: a change that alters schema must be forward-compatible with the previous application version, or the rollback plan must include a tested down-migration. Additive, nullable columns are the preferred pattern precisely because they make rollback trivial.</w:t>
      </w:r>
    </w:p>
    <w:p>
      <w:pPr>
        <w:pStyle w:val="Heading1"/>
      </w:pPr>
      <w:r>
        <w:t>10. Change record retention</w:t>
      </w:r>
    </w:p>
    <w:p>
      <w:r>
        <w:t>Change records are retained for six years per AGT-DRP-007 and constitute the primary evidence for SOC 2 CC8.1 and HIPAA evaluation requirements.</w:t>
      </w:r>
    </w:p>
    <w:p>
      <w:pPr>
        <w:pStyle w:val="Heading2"/>
      </w:pPr>
      <w:r>
        <w:t>Roles and responsibilities</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Role</w:t>
            </w:r>
          </w:p>
        </w:tc>
        <w:tc>
          <w:tcPr>
            <w:tcW w:type="dxa" w:w="6336"/>
            <w:shd w:val="clear" w:fill="0F2B4C"/>
          </w:tcPr>
          <w:p>
            <w:r>
              <w:rPr>
                <w:b/>
                <w:color w:val="FFFFFF"/>
                <w:sz w:val="18"/>
              </w:rPr>
              <w:t>Responsibility</w:t>
            </w:r>
          </w:p>
        </w:tc>
      </w:tr>
      <w:tr>
        <w:tc>
          <w:tcPr>
            <w:tcW w:type="dxa" w:w="2592"/>
          </w:tcPr>
          <w:p>
            <w:r>
              <w:rPr>
                <w:sz w:val="18"/>
              </w:rPr>
              <w:t>CEO</w:t>
            </w:r>
          </w:p>
        </w:tc>
        <w:tc>
          <w:tcPr>
            <w:tcW w:type="dxa" w:w="6336"/>
          </w:tcPr>
          <w:p>
            <w:r>
              <w:rPr>
                <w:sz w:val="18"/>
              </w:rPr>
              <w:t>Chairs the CAB; approves major and emergency changes.</w:t>
            </w:r>
          </w:p>
        </w:tc>
      </w:tr>
      <w:tr>
        <w:tc>
          <w:tcPr>
            <w:tcW w:type="dxa" w:w="2592"/>
          </w:tcPr>
          <w:p>
            <w:r>
              <w:rPr>
                <w:sz w:val="18"/>
              </w:rPr>
              <w:t>Security Officer</w:t>
            </w:r>
          </w:p>
        </w:tc>
        <w:tc>
          <w:tcPr>
            <w:tcW w:type="dxa" w:w="6336"/>
          </w:tcPr>
          <w:p>
            <w:r>
              <w:rPr>
                <w:sz w:val="18"/>
              </w:rPr>
              <w:t>Assesses security impact; verifies control restoration after emergencies.</w:t>
            </w:r>
          </w:p>
        </w:tc>
      </w:tr>
      <w:tr>
        <w:tc>
          <w:tcPr>
            <w:tcW w:type="dxa" w:w="2592"/>
          </w:tcPr>
          <w:p>
            <w:r>
              <w:rPr>
                <w:sz w:val="18"/>
              </w:rPr>
              <w:t>Engineering</w:t>
            </w:r>
          </w:p>
        </w:tc>
        <w:tc>
          <w:tcPr>
            <w:tcW w:type="dxa" w:w="6336"/>
          </w:tcPr>
          <w:p>
            <w:r>
              <w:rPr>
                <w:sz w:val="18"/>
              </w:rPr>
              <w:t>Prepares RFCs; implements and verifies; executes rollback.</w:t>
            </w:r>
          </w:p>
        </w:tc>
      </w:tr>
    </w:tbl>
    <w:p/>
    <w:p>
      <w:r>
        <w:br w:type="page"/>
      </w:r>
    </w:p>
    <w:p>
      <w:pPr>
        <w:pStyle w:val="Heading2"/>
      </w:pPr>
      <w:r>
        <w:t>Compliance mapping</w:t>
      </w:r>
    </w:p>
    <w:p>
      <w:r>
        <w:t>Each framework reference below identifies the control this document is written to satisfy. Where a control is only partially satisfied, the gap is stated in the row rather than omitted - a mapping table that shows only green is not evidence, it is decoration.</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fill="0F2B4C"/>
          </w:tcPr>
          <w:p>
            <w:r>
              <w:rPr>
                <w:b/>
                <w:color w:val="FFFFFF"/>
                <w:sz w:val="18"/>
              </w:rPr>
              <w:t>Framework</w:t>
            </w:r>
          </w:p>
        </w:tc>
        <w:tc>
          <w:tcPr>
            <w:tcW w:type="dxa" w:w="2160"/>
            <w:shd w:val="clear" w:fill="0F2B4C"/>
          </w:tcPr>
          <w:p>
            <w:r>
              <w:rPr>
                <w:b/>
                <w:color w:val="FFFFFF"/>
                <w:sz w:val="18"/>
              </w:rPr>
              <w:t>Control reference</w:t>
            </w:r>
          </w:p>
        </w:tc>
        <w:tc>
          <w:tcPr>
            <w:tcW w:type="dxa" w:w="4320"/>
            <w:shd w:val="clear" w:fill="0F2B4C"/>
          </w:tcPr>
          <w:p>
            <w:r>
              <w:rPr>
                <w:b/>
                <w:color w:val="FFFFFF"/>
                <w:sz w:val="18"/>
              </w:rPr>
              <w:t>How this document satisfies it</w:t>
            </w:r>
          </w:p>
        </w:tc>
        <w:tc>
          <w:tcPr>
            <w:tcW w:type="dxa" w:w="1152"/>
            <w:shd w:val="clear" w:fill="0F2B4C"/>
          </w:tcPr>
          <w:p>
            <w:r>
              <w:rPr>
                <w:b/>
                <w:color w:val="FFFFFF"/>
                <w:sz w:val="18"/>
              </w:rPr>
              <w:t>Status</w:t>
            </w:r>
          </w:p>
        </w:tc>
      </w:tr>
      <w:tr>
        <w:tc>
          <w:tcPr>
            <w:tcW w:type="dxa" w:w="1584"/>
          </w:tcPr>
          <w:p>
            <w:r>
              <w:rPr>
                <w:sz w:val="18"/>
              </w:rPr>
              <w:t>NIST 800-53</w:t>
            </w:r>
          </w:p>
        </w:tc>
        <w:tc>
          <w:tcPr>
            <w:tcW w:type="dxa" w:w="2160"/>
          </w:tcPr>
          <w:p>
            <w:r>
              <w:rPr>
                <w:sz w:val="18"/>
              </w:rPr>
              <w:t>CM-3, CM-4, CM-5, CM-9</w:t>
            </w:r>
          </w:p>
        </w:tc>
        <w:tc>
          <w:tcPr>
            <w:tcW w:type="dxa" w:w="4320"/>
          </w:tcPr>
          <w:p>
            <w:r>
              <w:rPr>
                <w:sz w:val="18"/>
              </w:rPr>
              <w:t>Configuration change control, impact analysis, access restrictions, CM plan.</w:t>
            </w:r>
          </w:p>
        </w:tc>
        <w:tc>
          <w:tcPr>
            <w:tcW w:type="dxa" w:w="1152"/>
          </w:tcPr>
          <w:p>
            <w:r>
              <w:rPr>
                <w:sz w:val="18"/>
              </w:rPr>
              <w:t>Met</w:t>
            </w:r>
          </w:p>
        </w:tc>
      </w:tr>
      <w:tr>
        <w:tc>
          <w:tcPr>
            <w:tcW w:type="dxa" w:w="1584"/>
          </w:tcPr>
          <w:p>
            <w:r>
              <w:rPr>
                <w:sz w:val="18"/>
              </w:rPr>
              <w:t>HIPAA</w:t>
            </w:r>
          </w:p>
        </w:tc>
        <w:tc>
          <w:tcPr>
            <w:tcW w:type="dxa" w:w="2160"/>
          </w:tcPr>
          <w:p>
            <w:r>
              <w:rPr>
                <w:sz w:val="18"/>
              </w:rPr>
              <w:t>164.308(a)(8)</w:t>
            </w:r>
          </w:p>
        </w:tc>
        <w:tc>
          <w:tcPr>
            <w:tcW w:type="dxa" w:w="4320"/>
          </w:tcPr>
          <w:p>
            <w:r>
              <w:rPr>
                <w:sz w:val="18"/>
              </w:rPr>
              <w:t>Periodic evaluation following environmental or operational change.</w:t>
            </w:r>
          </w:p>
        </w:tc>
        <w:tc>
          <w:tcPr>
            <w:tcW w:type="dxa" w:w="1152"/>
          </w:tcPr>
          <w:p>
            <w:r>
              <w:rPr>
                <w:sz w:val="18"/>
              </w:rPr>
              <w:t>Met</w:t>
            </w:r>
          </w:p>
        </w:tc>
      </w:tr>
      <w:tr>
        <w:tc>
          <w:tcPr>
            <w:tcW w:type="dxa" w:w="1584"/>
          </w:tcPr>
          <w:p>
            <w:r>
              <w:rPr>
                <w:sz w:val="18"/>
              </w:rPr>
              <w:t>SOC 2</w:t>
            </w:r>
          </w:p>
        </w:tc>
        <w:tc>
          <w:tcPr>
            <w:tcW w:type="dxa" w:w="2160"/>
          </w:tcPr>
          <w:p>
            <w:r>
              <w:rPr>
                <w:sz w:val="18"/>
              </w:rPr>
              <w:t>CC8.1</w:t>
            </w:r>
          </w:p>
        </w:tc>
        <w:tc>
          <w:tcPr>
            <w:tcW w:type="dxa" w:w="4320"/>
          </w:tcPr>
          <w:p>
            <w:r>
              <w:rPr>
                <w:sz w:val="18"/>
              </w:rPr>
              <w:t>Authorization, design, development, and implementation of changes.</w:t>
            </w:r>
          </w:p>
        </w:tc>
        <w:tc>
          <w:tcPr>
            <w:tcW w:type="dxa" w:w="1152"/>
          </w:tcPr>
          <w:p>
            <w:r>
              <w:rPr>
                <w:sz w:val="18"/>
              </w:rPr>
              <w:t>Met</w:t>
            </w:r>
          </w:p>
        </w:tc>
      </w:tr>
      <w:tr>
        <w:tc>
          <w:tcPr>
            <w:tcW w:type="dxa" w:w="1584"/>
          </w:tcPr>
          <w:p>
            <w:r>
              <w:rPr>
                <w:sz w:val="18"/>
              </w:rPr>
              <w:t>ISO 27001</w:t>
            </w:r>
          </w:p>
        </w:tc>
        <w:tc>
          <w:tcPr>
            <w:tcW w:type="dxa" w:w="2160"/>
          </w:tcPr>
          <w:p>
            <w:r>
              <w:rPr>
                <w:sz w:val="18"/>
              </w:rPr>
              <w:t>A.8.32</w:t>
            </w:r>
          </w:p>
        </w:tc>
        <w:tc>
          <w:tcPr>
            <w:tcW w:type="dxa" w:w="4320"/>
          </w:tcPr>
          <w:p>
            <w:r>
              <w:rPr>
                <w:sz w:val="18"/>
              </w:rPr>
              <w:t>Change management.</w:t>
            </w:r>
          </w:p>
        </w:tc>
        <w:tc>
          <w:tcPr>
            <w:tcW w:type="dxa" w:w="1152"/>
          </w:tcPr>
          <w:p>
            <w:r>
              <w:rPr>
                <w:sz w:val="18"/>
              </w:rPr>
              <w:t>Met</w:t>
            </w:r>
          </w:p>
        </w:tc>
      </w:tr>
      <w:tr>
        <w:tc>
          <w:tcPr>
            <w:tcW w:type="dxa" w:w="1584"/>
          </w:tcPr>
          <w:p>
            <w:r>
              <w:rPr>
                <w:sz w:val="18"/>
              </w:rPr>
              <w:t>ISO 20000-1</w:t>
            </w:r>
          </w:p>
        </w:tc>
        <w:tc>
          <w:tcPr>
            <w:tcW w:type="dxa" w:w="2160"/>
          </w:tcPr>
          <w:p>
            <w:r>
              <w:rPr>
                <w:sz w:val="18"/>
              </w:rPr>
              <w:t>Clause 8.5.1</w:t>
            </w:r>
          </w:p>
        </w:tc>
        <w:tc>
          <w:tcPr>
            <w:tcW w:type="dxa" w:w="4320"/>
          </w:tcPr>
          <w:p>
            <w:r>
              <w:rPr>
                <w:sz w:val="18"/>
              </w:rPr>
              <w:t>Change management for services.</w:t>
            </w:r>
          </w:p>
        </w:tc>
        <w:tc>
          <w:tcPr>
            <w:tcW w:type="dxa" w:w="1152"/>
          </w:tcPr>
          <w:p>
            <w:r>
              <w:rPr>
                <w:sz w:val="18"/>
              </w:rPr>
              <w:t>Met</w:t>
            </w:r>
          </w:p>
        </w:tc>
      </w:tr>
      <w:tr>
        <w:tc>
          <w:tcPr>
            <w:tcW w:type="dxa" w:w="1584"/>
          </w:tcPr>
          <w:p>
            <w:r>
              <w:rPr>
                <w:sz w:val="18"/>
              </w:rPr>
              <w:t>CMMI L3</w:t>
            </w:r>
          </w:p>
        </w:tc>
        <w:tc>
          <w:tcPr>
            <w:tcW w:type="dxa" w:w="2160"/>
          </w:tcPr>
          <w:p>
            <w:r>
              <w:rPr>
                <w:sz w:val="18"/>
              </w:rPr>
              <w:t>CM, PMC</w:t>
            </w:r>
          </w:p>
        </w:tc>
        <w:tc>
          <w:tcPr>
            <w:tcW w:type="dxa" w:w="4320"/>
          </w:tcPr>
          <w:p>
            <w:r>
              <w:rPr>
                <w:sz w:val="18"/>
              </w:rPr>
              <w:t>Change control and project monitoring.</w:t>
            </w:r>
          </w:p>
        </w:tc>
        <w:tc>
          <w:tcPr>
            <w:tcW w:type="dxa" w:w="1152"/>
          </w:tcPr>
          <w:p>
            <w:r>
              <w:rPr>
                <w:sz w:val="18"/>
              </w:rPr>
              <w:t>Met</w:t>
            </w:r>
          </w:p>
        </w:tc>
      </w:tr>
      <w:tr>
        <w:tc>
          <w:tcPr>
            <w:tcW w:type="dxa" w:w="1584"/>
          </w:tcPr>
          <w:p>
            <w:r>
              <w:rPr>
                <w:sz w:val="18"/>
              </w:rPr>
              <w:t>FedRAMP</w:t>
            </w:r>
          </w:p>
        </w:tc>
        <w:tc>
          <w:tcPr>
            <w:tcW w:type="dxa" w:w="2160"/>
          </w:tcPr>
          <w:p>
            <w:r>
              <w:rPr>
                <w:sz w:val="18"/>
              </w:rPr>
              <w:t>CM-3(2)</w:t>
            </w:r>
          </w:p>
        </w:tc>
        <w:tc>
          <w:tcPr>
            <w:tcW w:type="dxa" w:w="4320"/>
          </w:tcPr>
          <w:p>
            <w:r>
              <w:rPr>
                <w:sz w:val="18"/>
              </w:rPr>
              <w:t>Testing, validation, and documentation of changes.</w:t>
            </w:r>
          </w:p>
        </w:tc>
        <w:tc>
          <w:tcPr>
            <w:tcW w:type="dxa" w:w="1152"/>
          </w:tcPr>
          <w:p>
            <w:r>
              <w:rPr>
                <w:sz w:val="18"/>
              </w:rPr>
              <w:t>Met</w:t>
            </w:r>
          </w:p>
        </w:tc>
      </w:tr>
    </w:tbl>
    <w:p/>
    <w:p>
      <w:pPr>
        <w:pStyle w:val="Heading2"/>
      </w:pPr>
      <w:r>
        <w:t>Related documents</w:t>
      </w:r>
    </w:p>
    <w:tbl>
      <w:tblPr>
        <w:tblStyle w:val="TableGrid"/>
        <w:tblW w:type="auto" w:w="0"/>
        <w:tblLook w:firstColumn="1" w:firstRow="1" w:lastColumn="0" w:lastRow="0" w:noHBand="0" w:noVBand="1" w:val="04A0"/>
      </w:tblPr>
      <w:tblGrid>
        <w:gridCol w:w="3120"/>
        <w:gridCol w:w="3120"/>
        <w:gridCol w:w="3120"/>
      </w:tblGrid>
      <w:tr>
        <w:tc>
          <w:tcPr>
            <w:tcW w:type="dxa" w:w="1872"/>
            <w:shd w:val="clear" w:fill="0F2B4C"/>
          </w:tcPr>
          <w:p>
            <w:r>
              <w:rPr>
                <w:b/>
                <w:color w:val="FFFFFF"/>
                <w:sz w:val="18"/>
              </w:rPr>
              <w:t>Document ID</w:t>
            </w:r>
          </w:p>
        </w:tc>
        <w:tc>
          <w:tcPr>
            <w:tcW w:type="dxa" w:w="4176"/>
            <w:shd w:val="clear" w:fill="0F2B4C"/>
          </w:tcPr>
          <w:p>
            <w:r>
              <w:rPr>
                <w:b/>
                <w:color w:val="FFFFFF"/>
                <w:sz w:val="18"/>
              </w:rPr>
              <w:t>Title</w:t>
            </w:r>
          </w:p>
        </w:tc>
        <w:tc>
          <w:tcPr>
            <w:tcW w:type="dxa" w:w="3168"/>
            <w:shd w:val="clear" w:fill="0F2B4C"/>
          </w:tcPr>
          <w:p>
            <w:r>
              <w:rPr>
                <w:b/>
                <w:color w:val="FFFFFF"/>
                <w:sz w:val="18"/>
              </w:rPr>
              <w:t>Relationship</w:t>
            </w:r>
          </w:p>
        </w:tc>
      </w:tr>
      <w:tr>
        <w:tc>
          <w:tcPr>
            <w:tcW w:type="dxa" w:w="1872"/>
          </w:tcPr>
          <w:p>
            <w:r>
              <w:rPr>
                <w:sz w:val="18"/>
              </w:rPr>
              <w:t>AGT-CfMP-016</w:t>
            </w:r>
          </w:p>
        </w:tc>
        <w:tc>
          <w:tcPr>
            <w:tcW w:type="dxa" w:w="4176"/>
          </w:tcPr>
          <w:p>
            <w:r>
              <w:rPr>
                <w:sz w:val="18"/>
              </w:rPr>
              <w:t>Configuration Management Policy</w:t>
            </w:r>
          </w:p>
        </w:tc>
        <w:tc>
          <w:tcPr>
            <w:tcW w:type="dxa" w:w="3168"/>
          </w:tcPr>
          <w:p>
            <w:r>
              <w:rPr>
                <w:sz w:val="18"/>
              </w:rPr>
              <w:t>Defines the baselines being changed</w:t>
            </w:r>
          </w:p>
        </w:tc>
      </w:tr>
      <w:tr>
        <w:tc>
          <w:tcPr>
            <w:tcW w:type="dxa" w:w="1872"/>
          </w:tcPr>
          <w:p>
            <w:r>
              <w:rPr>
                <w:sz w:val="18"/>
              </w:rPr>
              <w:t>AGT-SSDLC-015</w:t>
            </w:r>
          </w:p>
        </w:tc>
        <w:tc>
          <w:tcPr>
            <w:tcW w:type="dxa" w:w="4176"/>
          </w:tcPr>
          <w:p>
            <w:r>
              <w:rPr>
                <w:sz w:val="18"/>
              </w:rPr>
              <w:t>Secure SDLC</w:t>
            </w:r>
          </w:p>
        </w:tc>
        <w:tc>
          <w:tcPr>
            <w:tcW w:type="dxa" w:w="3168"/>
          </w:tcPr>
          <w:p>
            <w:r>
              <w:rPr>
                <w:sz w:val="18"/>
              </w:rPr>
              <w:t>Release process feeding change control</w:t>
            </w:r>
          </w:p>
        </w:tc>
      </w:tr>
      <w:tr>
        <w:tc>
          <w:tcPr>
            <w:tcW w:type="dxa" w:w="1872"/>
          </w:tcPr>
          <w:p>
            <w:r>
              <w:rPr>
                <w:sz w:val="18"/>
              </w:rPr>
              <w:t>AGT-IRP-022</w:t>
            </w:r>
          </w:p>
        </w:tc>
        <w:tc>
          <w:tcPr>
            <w:tcW w:type="dxa" w:w="4176"/>
          </w:tcPr>
          <w:p>
            <w:r>
              <w:rPr>
                <w:sz w:val="18"/>
              </w:rPr>
              <w:t>Incident Response Plan</w:t>
            </w:r>
          </w:p>
        </w:tc>
        <w:tc>
          <w:tcPr>
            <w:tcW w:type="dxa" w:w="3168"/>
          </w:tcPr>
          <w:p>
            <w:r>
              <w:rPr>
                <w:sz w:val="18"/>
              </w:rPr>
              <w:t>Emergency changes during incidents</w:t>
            </w:r>
          </w:p>
        </w:tc>
      </w:tr>
      <w:tr>
        <w:tc>
          <w:tcPr>
            <w:tcW w:type="dxa" w:w="1872"/>
          </w:tcPr>
          <w:p>
            <w:r>
              <w:rPr>
                <w:sz w:val="18"/>
              </w:rPr>
              <w:t>AGT-BKP-019</w:t>
            </w:r>
          </w:p>
        </w:tc>
        <w:tc>
          <w:tcPr>
            <w:tcW w:type="dxa" w:w="4176"/>
          </w:tcPr>
          <w:p>
            <w:r>
              <w:rPr>
                <w:sz w:val="18"/>
              </w:rPr>
              <w:t>Backup Policy</w:t>
            </w:r>
          </w:p>
        </w:tc>
        <w:tc>
          <w:tcPr>
            <w:tcW w:type="dxa" w:w="3168"/>
          </w:tcPr>
          <w:p>
            <w:r>
              <w:rPr>
                <w:sz w:val="18"/>
              </w:rPr>
              <w:t>Recovery point before a risky change</w:t>
            </w:r>
          </w:p>
        </w:tc>
      </w:tr>
    </w:tbl>
    <w:p/>
    <w:p>
      <w:r>
        <w:br w:type="page"/>
      </w:r>
    </w:p>
    <w:p>
      <w:pPr>
        <w:pStyle w:val="Heading1"/>
      </w:pPr>
      <w:r>
        <w:t>Version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1152"/>
            <w:shd w:val="clear" w:fill="0F2B4C"/>
          </w:tcPr>
          <w:p>
            <w:r>
              <w:rPr>
                <w:b/>
                <w:color w:val="FFFFFF"/>
                <w:sz w:val="18"/>
              </w:rPr>
              <w:t>Version</w:t>
            </w:r>
          </w:p>
        </w:tc>
        <w:tc>
          <w:tcPr>
            <w:tcW w:type="dxa" w:w="1584"/>
            <w:shd w:val="clear" w:fill="0F2B4C"/>
          </w:tcPr>
          <w:p>
            <w:r>
              <w:rPr>
                <w:b/>
                <w:color w:val="FFFFFF"/>
                <w:sz w:val="18"/>
              </w:rPr>
              <w:t>Date</w:t>
            </w:r>
          </w:p>
        </w:tc>
        <w:tc>
          <w:tcPr>
            <w:tcW w:type="dxa" w:w="2016"/>
            <w:shd w:val="clear" w:fill="0F2B4C"/>
          </w:tcPr>
          <w:p>
            <w:r>
              <w:rPr>
                <w:b/>
                <w:color w:val="FFFFFF"/>
                <w:sz w:val="18"/>
              </w:rPr>
              <w:t>Author</w:t>
            </w:r>
          </w:p>
        </w:tc>
        <w:tc>
          <w:tcPr>
            <w:tcW w:type="dxa" w:w="4176"/>
            <w:shd w:val="clear" w:fill="0F2B4C"/>
          </w:tcPr>
          <w:p>
            <w:r>
              <w:rPr>
                <w:b/>
                <w:color w:val="FFFFFF"/>
                <w:sz w:val="18"/>
              </w:rPr>
              <w:t>Summary of change</w:t>
            </w:r>
          </w:p>
        </w:tc>
      </w:tr>
      <w:tr>
        <w:tc>
          <w:tcPr>
            <w:tcW w:type="dxa" w:w="1152"/>
          </w:tcPr>
          <w:p>
            <w:r>
              <w:rPr>
                <w:sz w:val="18"/>
              </w:rPr>
              <w:t>1.0</w:t>
            </w:r>
          </w:p>
        </w:tc>
        <w:tc>
          <w:tcPr>
            <w:tcW w:type="dxa" w:w="1584"/>
          </w:tcPr>
          <w:p>
            <w:r>
              <w:rPr>
                <w:sz w:val="18"/>
              </w:rPr>
              <w:t>2026-07-28</w:t>
            </w:r>
          </w:p>
        </w:tc>
        <w:tc>
          <w:tcPr>
            <w:tcW w:type="dxa" w:w="2016"/>
          </w:tcPr>
          <w:p>
            <w:r>
              <w:rPr>
                <w:sz w:val="18"/>
              </w:rPr>
              <w:t>Imran Siddiqui</w:t>
            </w:r>
          </w:p>
        </w:tc>
        <w:tc>
          <w:tcPr>
            <w:tcW w:type="dxa" w:w="4176"/>
          </w:tcPr>
          <w:p>
            <w:r>
              <w:rPr>
                <w:sz w:val="18"/>
              </w:rPr>
              <w:t>Initial issue.</w:t>
            </w:r>
          </w:p>
        </w:tc>
      </w:tr>
    </w:tbl>
    <w:p/>
    <w:p>
      <w:pPr>
        <w:pStyle w:val="Heading1"/>
      </w:pPr>
      <w:r>
        <w:t>Approval</w:t>
      </w:r>
    </w:p>
    <w:p>
      <w:r>
        <w:t>This document is approved for use and is binding on all personnel and contractors with access to the systems in scope.</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fill="0F2B4C"/>
          </w:tcPr>
          <w:p>
            <w:r>
              <w:rPr>
                <w:b/>
                <w:color w:val="FFFFFF"/>
                <w:sz w:val="18"/>
              </w:rPr>
              <w:t>Role</w:t>
            </w:r>
          </w:p>
        </w:tc>
        <w:tc>
          <w:tcPr>
            <w:tcW w:type="dxa" w:w="2304"/>
            <w:shd w:val="clear" w:fill="0F2B4C"/>
          </w:tcPr>
          <w:p>
            <w:r>
              <w:rPr>
                <w:b/>
                <w:color w:val="FFFFFF"/>
                <w:sz w:val="18"/>
              </w:rPr>
              <w:t>Name</w:t>
            </w:r>
          </w:p>
        </w:tc>
        <w:tc>
          <w:tcPr>
            <w:tcW w:type="dxa" w:w="2304"/>
            <w:shd w:val="clear" w:fill="0F2B4C"/>
          </w:tcPr>
          <w:p>
            <w:r>
              <w:rPr>
                <w:b/>
                <w:color w:val="FFFFFF"/>
                <w:sz w:val="18"/>
              </w:rPr>
              <w:t>Signature</w:t>
            </w:r>
          </w:p>
        </w:tc>
        <w:tc>
          <w:tcPr>
            <w:tcW w:type="dxa" w:w="1728"/>
            <w:shd w:val="clear" w:fill="0F2B4C"/>
          </w:tcPr>
          <w:p>
            <w:r>
              <w:rPr>
                <w:b/>
                <w:color w:val="FFFFFF"/>
                <w:sz w:val="18"/>
              </w:rPr>
              <w:t>Date</w:t>
            </w:r>
          </w:p>
        </w:tc>
      </w:tr>
      <w:tr>
        <w:tc>
          <w:tcPr>
            <w:tcW w:type="dxa" w:w="2592"/>
          </w:tcPr>
          <w:p>
            <w:r>
              <w:rPr>
                <w:sz w:val="18"/>
              </w:rPr>
              <w:t>Chief Executive Officer</w:t>
            </w:r>
          </w:p>
        </w:tc>
        <w:tc>
          <w:tcPr>
            <w:tcW w:type="dxa" w:w="2304"/>
          </w:tcPr>
          <w:p>
            <w:r>
              <w:rPr>
                <w:sz w:val="18"/>
              </w:rPr>
              <w:t>Imran Siddiqui</w:t>
            </w:r>
          </w:p>
        </w:tc>
        <w:tc>
          <w:tcPr>
            <w:tcW w:type="dxa" w:w="2304"/>
          </w:tcPr>
          <w:p>
            <w:r>
              <w:rPr>
                <w:sz w:val="18"/>
              </w:rPr>
            </w:r>
          </w:p>
        </w:tc>
        <w:tc>
          <w:tcPr>
            <w:tcW w:type="dxa" w:w="1728"/>
          </w:tcPr>
          <w:p>
            <w:r>
              <w:rPr>
                <w:sz w:val="18"/>
              </w:rPr>
            </w:r>
          </w:p>
        </w:tc>
      </w:tr>
      <w:tr>
        <w:tc>
          <w:tcPr>
            <w:tcW w:type="dxa" w:w="2592"/>
          </w:tcPr>
          <w:p>
            <w:r>
              <w:rPr>
                <w:sz w:val="18"/>
              </w:rPr>
              <w:t>Security Officer</w:t>
            </w:r>
          </w:p>
        </w:tc>
        <w:tc>
          <w:tcPr>
            <w:tcW w:type="dxa" w:w="2304"/>
          </w:tcPr>
          <w:p>
            <w:r>
              <w:rPr>
                <w:sz w:val="18"/>
              </w:rPr>
            </w:r>
          </w:p>
        </w:tc>
        <w:tc>
          <w:tcPr>
            <w:tcW w:type="dxa" w:w="2304"/>
          </w:tcPr>
          <w:p>
            <w:r>
              <w:rPr>
                <w:sz w:val="18"/>
              </w:rPr>
            </w:r>
          </w:p>
        </w:tc>
        <w:tc>
          <w:tcPr>
            <w:tcW w:type="dxa" w:w="1728"/>
          </w:tcPr>
          <w:p>
            <w:r>
              <w:rPr>
                <w:sz w:val="18"/>
              </w:rPr>
            </w:r>
          </w:p>
        </w:tc>
      </w:tr>
      <w:tr>
        <w:tc>
          <w:tcPr>
            <w:tcW w:type="dxa" w:w="2592"/>
          </w:tcPr>
          <w:p>
            <w:r>
              <w:rPr>
                <w:sz w:val="18"/>
              </w:rPr>
              <w:t>Privacy Officer</w:t>
            </w:r>
          </w:p>
        </w:tc>
        <w:tc>
          <w:tcPr>
            <w:tcW w:type="dxa" w:w="2304"/>
          </w:tcPr>
          <w:p>
            <w:r>
              <w:rPr>
                <w:sz w:val="18"/>
              </w:rPr>
            </w:r>
          </w:p>
        </w:tc>
        <w:tc>
          <w:tcPr>
            <w:tcW w:type="dxa" w:w="2304"/>
          </w:tcPr>
          <w:p>
            <w:r>
              <w:rPr>
                <w:sz w:val="18"/>
              </w:rPr>
            </w:r>
          </w:p>
        </w:tc>
        <w:tc>
          <w:tcPr>
            <w:tcW w:type="dxa" w:w="1728"/>
          </w:tcPr>
          <w:p>
            <w:r>
              <w:rPr>
                <w:sz w:val="18"/>
              </w:rPr>
            </w:r>
          </w:p>
        </w:tc>
      </w:tr>
    </w:tbl>
    <w:p/>
    <w:p>
      <w:r>
        <w:rPr>
          <w:i/>
          <w:color w:val="5A5A5A"/>
          <w:sz w:val="19"/>
        </w:rPr>
        <w:t>Approval is recorded in the document management system; a wet signature is not required where an auditable electronic approval exists.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AGT-ChMP-017 v1.0  |  AGT Internal  |  Uncontrolled when printed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B4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B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6C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