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Data Classification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AGT-DCP-006</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establishes how AGT classifies information so that protection is proportionate to sensitivity. Classification is the prerequisite for every other data control: retention, encryption, handling, and disposal all reference the class, and a system that cannot say what class a record belongs to cannot demonstrate it is protecting it correctly.</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2"/>
      </w:pPr>
      <w:r>
        <w:t>Definitions</w:t>
      </w:r>
    </w:p>
    <w:tbl>
      <w:tblPr>
        <w:tblStyle w:val="TableGrid"/>
        <w:tblW w:type="auto" w:w="0"/>
        <w:tblLook w:firstColumn="1" w:firstRow="1" w:lastColumn="0" w:lastRow="0" w:noHBand="0" w:noVBand="1" w:val="04A0"/>
      </w:tblPr>
      <w:tblGrid>
        <w:gridCol w:w="4680"/>
        <w:gridCol w:w="4680"/>
      </w:tblGrid>
      <w:tr>
        <w:tc>
          <w:tcPr>
            <w:tcW w:type="dxa" w:w="2160"/>
            <w:shd w:val="clear" w:fill="0F2B4C"/>
          </w:tcPr>
          <w:p>
            <w:r>
              <w:rPr>
                <w:b/>
                <w:color w:val="FFFFFF"/>
                <w:sz w:val="18"/>
              </w:rPr>
              <w:t>Term</w:t>
            </w:r>
          </w:p>
        </w:tc>
        <w:tc>
          <w:tcPr>
            <w:tcW w:type="dxa" w:w="6768"/>
            <w:shd w:val="clear" w:fill="0F2B4C"/>
          </w:tcPr>
          <w:p>
            <w:r>
              <w:rPr>
                <w:b/>
                <w:color w:val="FFFFFF"/>
                <w:sz w:val="18"/>
              </w:rPr>
              <w:t>Definition</w:t>
            </w:r>
          </w:p>
        </w:tc>
      </w:tr>
      <w:tr>
        <w:tc>
          <w:tcPr>
            <w:tcW w:type="dxa" w:w="2160"/>
          </w:tcPr>
          <w:p>
            <w:r>
              <w:rPr>
                <w:sz w:val="18"/>
              </w:rPr>
              <w:t>PHI</w:t>
            </w:r>
          </w:p>
        </w:tc>
        <w:tc>
          <w:tcPr>
            <w:tcW w:type="dxa" w:w="6768"/>
          </w:tcPr>
          <w:p>
            <w:r>
              <w:rPr>
                <w:sz w:val="18"/>
              </w:rPr>
              <w:t>Protected Health Information as defined by HIPAA 45 CFR 160.103.</w:t>
            </w:r>
          </w:p>
        </w:tc>
      </w:tr>
      <w:tr>
        <w:tc>
          <w:tcPr>
            <w:tcW w:type="dxa" w:w="2160"/>
          </w:tcPr>
          <w:p>
            <w:r>
              <w:rPr>
                <w:sz w:val="18"/>
              </w:rPr>
              <w:t>PII</w:t>
            </w:r>
          </w:p>
        </w:tc>
        <w:tc>
          <w:tcPr>
            <w:tcW w:type="dxa" w:w="6768"/>
          </w:tcPr>
          <w:p>
            <w:r>
              <w:rPr>
                <w:sz w:val="18"/>
              </w:rPr>
              <w:t>Personally Identifiable Information.</w:t>
            </w:r>
          </w:p>
        </w:tc>
      </w:tr>
      <w:tr>
        <w:tc>
          <w:tcPr>
            <w:tcW w:type="dxa" w:w="2160"/>
          </w:tcPr>
          <w:p>
            <w:r>
              <w:rPr>
                <w:sz w:val="18"/>
              </w:rPr>
              <w:t>CUI</w:t>
            </w:r>
          </w:p>
        </w:tc>
        <w:tc>
          <w:tcPr>
            <w:tcW w:type="dxa" w:w="6768"/>
          </w:tcPr>
          <w:p>
            <w:r>
              <w:rPr>
                <w:sz w:val="18"/>
              </w:rPr>
              <w:t>Controlled Unclassified Information as defined by 32 CFR 2002.</w:t>
            </w:r>
          </w:p>
        </w:tc>
      </w:tr>
      <w:tr>
        <w:tc>
          <w:tcPr>
            <w:tcW w:type="dxa" w:w="2160"/>
          </w:tcPr>
          <w:p>
            <w:r>
              <w:rPr>
                <w:sz w:val="18"/>
              </w:rPr>
              <w:t>Data owner</w:t>
            </w:r>
          </w:p>
        </w:tc>
        <w:tc>
          <w:tcPr>
            <w:tcW w:type="dxa" w:w="6768"/>
          </w:tcPr>
          <w:p>
            <w:r>
              <w:rPr>
                <w:sz w:val="18"/>
              </w:rPr>
              <w:t>The role accountable for classification and access decisions.</w:t>
            </w:r>
          </w:p>
        </w:tc>
      </w:tr>
      <w:tr>
        <w:tc>
          <w:tcPr>
            <w:tcW w:type="dxa" w:w="2160"/>
          </w:tcPr>
          <w:p>
            <w:r>
              <w:rPr>
                <w:sz w:val="18"/>
              </w:rPr>
              <w:t>Data custodian</w:t>
            </w:r>
          </w:p>
        </w:tc>
        <w:tc>
          <w:tcPr>
            <w:tcW w:type="dxa" w:w="6768"/>
          </w:tcPr>
          <w:p>
            <w:r>
              <w:rPr>
                <w:sz w:val="18"/>
              </w:rPr>
              <w:t>The role operating the systems that store or process the data.</w:t>
            </w:r>
          </w:p>
        </w:tc>
      </w:tr>
    </w:tbl>
    <w:p/>
    <w:p>
      <w:pPr>
        <w:pStyle w:val="Heading1"/>
      </w:pPr>
      <w:r>
        <w:t>3. Classification levels</w:t>
      </w:r>
    </w:p>
    <w:tbl>
      <w:tblPr>
        <w:tblStyle w:val="TableGrid"/>
        <w:tblW w:type="auto" w:w="0"/>
        <w:tblLook w:firstColumn="1" w:firstRow="1" w:lastColumn="0" w:lastRow="0" w:noHBand="0" w:noVBand="1" w:val="04A0"/>
      </w:tblPr>
      <w:tblGrid>
        <w:gridCol w:w="2340"/>
        <w:gridCol w:w="2340"/>
        <w:gridCol w:w="2340"/>
        <w:gridCol w:w="2340"/>
      </w:tblGrid>
      <w:tr>
        <w:tc>
          <w:tcPr>
            <w:tcW w:type="dxa" w:w="1296"/>
            <w:shd w:val="clear" w:fill="0F2B4C"/>
          </w:tcPr>
          <w:p>
            <w:r>
              <w:rPr>
                <w:b/>
                <w:color w:val="FFFFFF"/>
                <w:sz w:val="18"/>
              </w:rPr>
              <w:t>Level</w:t>
            </w:r>
          </w:p>
        </w:tc>
        <w:tc>
          <w:tcPr>
            <w:tcW w:type="dxa" w:w="2448"/>
            <w:shd w:val="clear" w:fill="0F2B4C"/>
          </w:tcPr>
          <w:p>
            <w:r>
              <w:rPr>
                <w:b/>
                <w:color w:val="FFFFFF"/>
                <w:sz w:val="18"/>
              </w:rPr>
              <w:t>Definition</w:t>
            </w:r>
          </w:p>
        </w:tc>
        <w:tc>
          <w:tcPr>
            <w:tcW w:type="dxa" w:w="3168"/>
            <w:shd w:val="clear" w:fill="0F2B4C"/>
          </w:tcPr>
          <w:p>
            <w:r>
              <w:rPr>
                <w:b/>
                <w:color w:val="FFFFFF"/>
                <w:sz w:val="18"/>
              </w:rPr>
              <w:t>Examples in this platform</w:t>
            </w:r>
          </w:p>
        </w:tc>
        <w:tc>
          <w:tcPr>
            <w:tcW w:type="dxa" w:w="1440"/>
            <w:shd w:val="clear" w:fill="0F2B4C"/>
          </w:tcPr>
          <w:p>
            <w:r>
              <w:rPr>
                <w:b/>
                <w:color w:val="FFFFFF"/>
                <w:sz w:val="18"/>
              </w:rPr>
              <w:t>Impact if disclosed</w:t>
            </w:r>
          </w:p>
        </w:tc>
      </w:tr>
      <w:tr>
        <w:tc>
          <w:tcPr>
            <w:tcW w:type="dxa" w:w="1296"/>
          </w:tcPr>
          <w:p>
            <w:r>
              <w:rPr>
                <w:sz w:val="18"/>
              </w:rPr>
              <w:t>Public</w:t>
            </w:r>
          </w:p>
        </w:tc>
        <w:tc>
          <w:tcPr>
            <w:tcW w:type="dxa" w:w="2448"/>
          </w:tcPr>
          <w:p>
            <w:r>
              <w:rPr>
                <w:sz w:val="18"/>
              </w:rPr>
              <w:t>Approved for unrestricted release.</w:t>
            </w:r>
          </w:p>
        </w:tc>
        <w:tc>
          <w:tcPr>
            <w:tcW w:type="dxa" w:w="3168"/>
          </w:tcPr>
          <w:p>
            <w:r>
              <w:rPr>
                <w:sz w:val="18"/>
              </w:rPr>
              <w:t>Published FCC bulletin content, marketing material, public API docs.</w:t>
            </w:r>
          </w:p>
        </w:tc>
        <w:tc>
          <w:tcPr>
            <w:tcW w:type="dxa" w:w="1440"/>
          </w:tcPr>
          <w:p>
            <w:r>
              <w:rPr>
                <w:sz w:val="18"/>
              </w:rPr>
              <w:t>None</w:t>
            </w:r>
          </w:p>
        </w:tc>
      </w:tr>
      <w:tr>
        <w:tc>
          <w:tcPr>
            <w:tcW w:type="dxa" w:w="1296"/>
          </w:tcPr>
          <w:p>
            <w:r>
              <w:rPr>
                <w:sz w:val="18"/>
              </w:rPr>
              <w:t>Internal</w:t>
            </w:r>
          </w:p>
        </w:tc>
        <w:tc>
          <w:tcPr>
            <w:tcW w:type="dxa" w:w="2448"/>
          </w:tcPr>
          <w:p>
            <w:r>
              <w:rPr>
                <w:sz w:val="18"/>
              </w:rPr>
              <w:t>Routine business information; not for public release.</w:t>
            </w:r>
          </w:p>
        </w:tc>
        <w:tc>
          <w:tcPr>
            <w:tcW w:type="dxa" w:w="3168"/>
          </w:tcPr>
          <w:p>
            <w:r>
              <w:rPr>
                <w:sz w:val="18"/>
              </w:rPr>
              <w:t>Architecture documents, non-sensitive configuration, internal runbooks.</w:t>
            </w:r>
          </w:p>
        </w:tc>
        <w:tc>
          <w:tcPr>
            <w:tcW w:type="dxa" w:w="1440"/>
          </w:tcPr>
          <w:p>
            <w:r>
              <w:rPr>
                <w:sz w:val="18"/>
              </w:rPr>
              <w:t>Low</w:t>
            </w:r>
          </w:p>
        </w:tc>
      </w:tr>
      <w:tr>
        <w:tc>
          <w:tcPr>
            <w:tcW w:type="dxa" w:w="1296"/>
          </w:tcPr>
          <w:p>
            <w:r>
              <w:rPr>
                <w:sz w:val="18"/>
              </w:rPr>
              <w:t>Confidential</w:t>
            </w:r>
          </w:p>
        </w:tc>
        <w:tc>
          <w:tcPr>
            <w:tcW w:type="dxa" w:w="2448"/>
          </w:tcPr>
          <w:p>
            <w:r>
              <w:rPr>
                <w:sz w:val="18"/>
              </w:rPr>
              <w:t>Sensitive business or personal information.</w:t>
            </w:r>
          </w:p>
        </w:tc>
        <w:tc>
          <w:tcPr>
            <w:tcW w:type="dxa" w:w="3168"/>
          </w:tcPr>
          <w:p>
            <w:r>
              <w:rPr>
                <w:sz w:val="18"/>
              </w:rPr>
              <w:t>User accounts, audit logs, vendor contracts, source code.</w:t>
            </w:r>
          </w:p>
        </w:tc>
        <w:tc>
          <w:tcPr>
            <w:tcW w:type="dxa" w:w="1440"/>
          </w:tcPr>
          <w:p>
            <w:r>
              <w:rPr>
                <w:sz w:val="18"/>
              </w:rPr>
              <w:t>Moderate</w:t>
            </w:r>
          </w:p>
        </w:tc>
      </w:tr>
      <w:tr>
        <w:tc>
          <w:tcPr>
            <w:tcW w:type="dxa" w:w="1296"/>
          </w:tcPr>
          <w:p>
            <w:r>
              <w:rPr>
                <w:sz w:val="18"/>
              </w:rPr>
              <w:t>Restricted</w:t>
            </w:r>
          </w:p>
        </w:tc>
        <w:tc>
          <w:tcPr>
            <w:tcW w:type="dxa" w:w="2448"/>
          </w:tcPr>
          <w:p>
            <w:r>
              <w:rPr>
                <w:sz w:val="18"/>
              </w:rPr>
              <w:t>Highest sensitivity; regulated or contractually protected.</w:t>
            </w:r>
          </w:p>
        </w:tc>
        <w:tc>
          <w:tcPr>
            <w:tcW w:type="dxa" w:w="3168"/>
          </w:tcPr>
          <w:p>
            <w:r>
              <w:rPr>
                <w:sz w:val="18"/>
              </w:rPr>
              <w:t>PHI, PII, CUI, credentials, cryptographic keys, TEFCA participant records.</w:t>
            </w:r>
          </w:p>
        </w:tc>
        <w:tc>
          <w:tcPr>
            <w:tcW w:type="dxa" w:w="1440"/>
          </w:tcPr>
          <w:p>
            <w:r>
              <w:rPr>
                <w:sz w:val="18"/>
              </w:rPr>
              <w:t>High</w:t>
            </w:r>
          </w:p>
        </w:tc>
      </w:tr>
    </w:tbl>
    <w:p/>
    <w:p>
      <w:r>
        <w:rPr>
          <w:i/>
          <w:color w:val="5A5A5A"/>
          <w:sz w:val="19"/>
        </w:rPr>
        <w:t>Where a record could fall into two classes, the higher class applies. A dataset takes the classification of its most sensitive element - de-identification is a deliberate, documented process, not an assumption.</w:t>
      </w:r>
    </w:p>
    <w:p>
      <w:pPr>
        <w:pStyle w:val="Heading1"/>
      </w:pPr>
      <w:r>
        <w:t>4. Handling requirements by level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fill="0F2B4C"/>
          </w:tcPr>
          <w:p>
            <w:r>
              <w:rPr>
                <w:b/>
                <w:color w:val="FFFFFF"/>
                <w:sz w:val="18"/>
              </w:rPr>
              <w:t>Control</w:t>
            </w:r>
          </w:p>
        </w:tc>
        <w:tc>
          <w:tcPr>
            <w:tcW w:type="dxa" w:w="1296"/>
            <w:shd w:val="clear" w:fill="0F2B4C"/>
          </w:tcPr>
          <w:p>
            <w:r>
              <w:rPr>
                <w:b/>
                <w:color w:val="FFFFFF"/>
                <w:sz w:val="18"/>
              </w:rPr>
              <w:t>Public</w:t>
            </w:r>
          </w:p>
        </w:tc>
        <w:tc>
          <w:tcPr>
            <w:tcW w:type="dxa" w:w="1296"/>
            <w:shd w:val="clear" w:fill="0F2B4C"/>
          </w:tcPr>
          <w:p>
            <w:r>
              <w:rPr>
                <w:b/>
                <w:color w:val="FFFFFF"/>
                <w:sz w:val="18"/>
              </w:rPr>
              <w:t>Internal</w:t>
            </w:r>
          </w:p>
        </w:tc>
        <w:tc>
          <w:tcPr>
            <w:tcW w:type="dxa" w:w="1728"/>
            <w:shd w:val="clear" w:fill="0F2B4C"/>
          </w:tcPr>
          <w:p>
            <w:r>
              <w:rPr>
                <w:b/>
                <w:color w:val="FFFFFF"/>
                <w:sz w:val="18"/>
              </w:rPr>
              <w:t>Confidential</w:t>
            </w:r>
          </w:p>
        </w:tc>
        <w:tc>
          <w:tcPr>
            <w:tcW w:type="dxa" w:w="2448"/>
            <w:shd w:val="clear" w:fill="0F2B4C"/>
          </w:tcPr>
          <w:p>
            <w:r>
              <w:rPr>
                <w:b/>
                <w:color w:val="FFFFFF"/>
                <w:sz w:val="18"/>
              </w:rPr>
              <w:t>Restricted</w:t>
            </w:r>
          </w:p>
        </w:tc>
      </w:tr>
      <w:tr>
        <w:tc>
          <w:tcPr>
            <w:tcW w:type="dxa" w:w="2160"/>
          </w:tcPr>
          <w:p>
            <w:r>
              <w:rPr>
                <w:sz w:val="18"/>
              </w:rPr>
              <w:t>Encryption in transit</w:t>
            </w:r>
          </w:p>
        </w:tc>
        <w:tc>
          <w:tcPr>
            <w:tcW w:type="dxa" w:w="1296"/>
          </w:tcPr>
          <w:p>
            <w:r>
              <w:rPr>
                <w:sz w:val="18"/>
              </w:rPr>
              <w:t>TLS 1.2+</w:t>
            </w:r>
          </w:p>
        </w:tc>
        <w:tc>
          <w:tcPr>
            <w:tcW w:type="dxa" w:w="1296"/>
          </w:tcPr>
          <w:p>
            <w:r>
              <w:rPr>
                <w:sz w:val="18"/>
              </w:rPr>
              <w:t>TLS 1.2+</w:t>
            </w:r>
          </w:p>
        </w:tc>
        <w:tc>
          <w:tcPr>
            <w:tcW w:type="dxa" w:w="1728"/>
          </w:tcPr>
          <w:p>
            <w:r>
              <w:rPr>
                <w:sz w:val="18"/>
              </w:rPr>
              <w:t>TLS 1.2+</w:t>
            </w:r>
          </w:p>
        </w:tc>
        <w:tc>
          <w:tcPr>
            <w:tcW w:type="dxa" w:w="2448"/>
          </w:tcPr>
          <w:p>
            <w:r>
              <w:rPr>
                <w:sz w:val="18"/>
              </w:rPr>
              <w:t>TLS 1.2+</w:t>
            </w:r>
          </w:p>
        </w:tc>
      </w:tr>
      <w:tr>
        <w:tc>
          <w:tcPr>
            <w:tcW w:type="dxa" w:w="2160"/>
          </w:tcPr>
          <w:p>
            <w:r>
              <w:rPr>
                <w:sz w:val="18"/>
              </w:rPr>
              <w:t>Encryption at rest</w:t>
            </w:r>
          </w:p>
        </w:tc>
        <w:tc>
          <w:tcPr>
            <w:tcW w:type="dxa" w:w="1296"/>
          </w:tcPr>
          <w:p>
            <w:r>
              <w:rPr>
                <w:sz w:val="18"/>
              </w:rPr>
              <w:t>Optional</w:t>
            </w:r>
          </w:p>
        </w:tc>
        <w:tc>
          <w:tcPr>
            <w:tcW w:type="dxa" w:w="1296"/>
          </w:tcPr>
          <w:p>
            <w:r>
              <w:rPr>
                <w:sz w:val="18"/>
              </w:rPr>
              <w:t>Required</w:t>
            </w:r>
          </w:p>
        </w:tc>
        <w:tc>
          <w:tcPr>
            <w:tcW w:type="dxa" w:w="1728"/>
          </w:tcPr>
          <w:p>
            <w:r>
              <w:rPr>
                <w:sz w:val="18"/>
              </w:rPr>
              <w:t>Required</w:t>
            </w:r>
          </w:p>
        </w:tc>
        <w:tc>
          <w:tcPr>
            <w:tcW w:type="dxa" w:w="2448"/>
          </w:tcPr>
          <w:p>
            <w:r>
              <w:rPr>
                <w:sz w:val="18"/>
              </w:rPr>
              <w:t>Required, AES-256</w:t>
            </w:r>
          </w:p>
        </w:tc>
      </w:tr>
      <w:tr>
        <w:tc>
          <w:tcPr>
            <w:tcW w:type="dxa" w:w="2160"/>
          </w:tcPr>
          <w:p>
            <w:r>
              <w:rPr>
                <w:sz w:val="18"/>
              </w:rPr>
              <w:t>Access control</w:t>
            </w:r>
          </w:p>
        </w:tc>
        <w:tc>
          <w:tcPr>
            <w:tcW w:type="dxa" w:w="1296"/>
          </w:tcPr>
          <w:p>
            <w:r>
              <w:rPr>
                <w:sz w:val="18"/>
              </w:rPr>
              <w:t>None</w:t>
            </w:r>
          </w:p>
        </w:tc>
        <w:tc>
          <w:tcPr>
            <w:tcW w:type="dxa" w:w="1296"/>
          </w:tcPr>
          <w:p>
            <w:r>
              <w:rPr>
                <w:sz w:val="18"/>
              </w:rPr>
              <w:t>Authenticated</w:t>
            </w:r>
          </w:p>
        </w:tc>
        <w:tc>
          <w:tcPr>
            <w:tcW w:type="dxa" w:w="1728"/>
          </w:tcPr>
          <w:p>
            <w:r>
              <w:rPr>
                <w:sz w:val="18"/>
              </w:rPr>
              <w:t>Role-based</w:t>
            </w:r>
          </w:p>
        </w:tc>
        <w:tc>
          <w:tcPr>
            <w:tcW w:type="dxa" w:w="2448"/>
          </w:tcPr>
          <w:p>
            <w:r>
              <w:rPr>
                <w:sz w:val="18"/>
              </w:rPr>
              <w:t>Role-based, minimum necessary</w:t>
            </w:r>
          </w:p>
        </w:tc>
      </w:tr>
      <w:tr>
        <w:tc>
          <w:tcPr>
            <w:tcW w:type="dxa" w:w="2160"/>
          </w:tcPr>
          <w:p>
            <w:r>
              <w:rPr>
                <w:sz w:val="18"/>
              </w:rPr>
              <w:t>Audit logging</w:t>
            </w:r>
          </w:p>
        </w:tc>
        <w:tc>
          <w:tcPr>
            <w:tcW w:type="dxa" w:w="1296"/>
          </w:tcPr>
          <w:p>
            <w:r>
              <w:rPr>
                <w:sz w:val="18"/>
              </w:rPr>
              <w:t>No</w:t>
            </w:r>
          </w:p>
        </w:tc>
        <w:tc>
          <w:tcPr>
            <w:tcW w:type="dxa" w:w="1296"/>
          </w:tcPr>
          <w:p>
            <w:r>
              <w:rPr>
                <w:sz w:val="18"/>
              </w:rPr>
              <w:t>Access to systems</w:t>
            </w:r>
          </w:p>
        </w:tc>
        <w:tc>
          <w:tcPr>
            <w:tcW w:type="dxa" w:w="1728"/>
          </w:tcPr>
          <w:p>
            <w:r>
              <w:rPr>
                <w:sz w:val="18"/>
              </w:rPr>
              <w:t>Access to records</w:t>
            </w:r>
          </w:p>
        </w:tc>
        <w:tc>
          <w:tcPr>
            <w:tcW w:type="dxa" w:w="2448"/>
          </w:tcPr>
          <w:p>
            <w:r>
              <w:rPr>
                <w:sz w:val="18"/>
              </w:rPr>
              <w:t>Every access, per AGT-LMP-018</w:t>
            </w:r>
          </w:p>
        </w:tc>
      </w:tr>
      <w:tr>
        <w:tc>
          <w:tcPr>
            <w:tcW w:type="dxa" w:w="2160"/>
          </w:tcPr>
          <w:p>
            <w:r>
              <w:rPr>
                <w:sz w:val="18"/>
              </w:rPr>
              <w:t>Emailing externally</w:t>
            </w:r>
          </w:p>
        </w:tc>
        <w:tc>
          <w:tcPr>
            <w:tcW w:type="dxa" w:w="1296"/>
          </w:tcPr>
          <w:p>
            <w:r>
              <w:rPr>
                <w:sz w:val="18"/>
              </w:rPr>
              <w:t>Permitted</w:t>
            </w:r>
          </w:p>
        </w:tc>
        <w:tc>
          <w:tcPr>
            <w:tcW w:type="dxa" w:w="1296"/>
          </w:tcPr>
          <w:p>
            <w:r>
              <w:rPr>
                <w:sz w:val="18"/>
              </w:rPr>
              <w:t>Permitted</w:t>
            </w:r>
          </w:p>
        </w:tc>
        <w:tc>
          <w:tcPr>
            <w:tcW w:type="dxa" w:w="1728"/>
          </w:tcPr>
          <w:p>
            <w:r>
              <w:rPr>
                <w:sz w:val="18"/>
              </w:rPr>
              <w:t>Encrypted only</w:t>
            </w:r>
          </w:p>
        </w:tc>
        <w:tc>
          <w:tcPr>
            <w:tcW w:type="dxa" w:w="2448"/>
          </w:tcPr>
          <w:p>
            <w:r>
              <w:rPr>
                <w:sz w:val="18"/>
              </w:rPr>
              <w:t>Prohibited</w:t>
            </w:r>
          </w:p>
        </w:tc>
      </w:tr>
      <w:tr>
        <w:tc>
          <w:tcPr>
            <w:tcW w:type="dxa" w:w="2160"/>
          </w:tcPr>
          <w:p>
            <w:r>
              <w:rPr>
                <w:sz w:val="18"/>
              </w:rPr>
              <w:t>Removable media</w:t>
            </w:r>
          </w:p>
        </w:tc>
        <w:tc>
          <w:tcPr>
            <w:tcW w:type="dxa" w:w="1296"/>
          </w:tcPr>
          <w:p>
            <w:r>
              <w:rPr>
                <w:sz w:val="18"/>
              </w:rPr>
              <w:t>Permitted</w:t>
            </w:r>
          </w:p>
        </w:tc>
        <w:tc>
          <w:tcPr>
            <w:tcW w:type="dxa" w:w="1296"/>
          </w:tcPr>
          <w:p>
            <w:r>
              <w:rPr>
                <w:sz w:val="18"/>
              </w:rPr>
              <w:t>Permitted</w:t>
            </w:r>
          </w:p>
        </w:tc>
        <w:tc>
          <w:tcPr>
            <w:tcW w:type="dxa" w:w="1728"/>
          </w:tcPr>
          <w:p>
            <w:r>
              <w:rPr>
                <w:sz w:val="18"/>
              </w:rPr>
              <w:t>Encrypted only</w:t>
            </w:r>
          </w:p>
        </w:tc>
        <w:tc>
          <w:tcPr>
            <w:tcW w:type="dxa" w:w="2448"/>
          </w:tcPr>
          <w:p>
            <w:r>
              <w:rPr>
                <w:sz w:val="18"/>
              </w:rPr>
              <w:t>Prohibited</w:t>
            </w:r>
          </w:p>
        </w:tc>
      </w:tr>
      <w:tr>
        <w:tc>
          <w:tcPr>
            <w:tcW w:type="dxa" w:w="2160"/>
          </w:tcPr>
          <w:p>
            <w:r>
              <w:rPr>
                <w:sz w:val="18"/>
              </w:rPr>
              <w:t>Cloud AI processing</w:t>
            </w:r>
          </w:p>
        </w:tc>
        <w:tc>
          <w:tcPr>
            <w:tcW w:type="dxa" w:w="1296"/>
          </w:tcPr>
          <w:p>
            <w:r>
              <w:rPr>
                <w:sz w:val="18"/>
              </w:rPr>
              <w:t>Permitted</w:t>
            </w:r>
          </w:p>
        </w:tc>
        <w:tc>
          <w:tcPr>
            <w:tcW w:type="dxa" w:w="1296"/>
          </w:tcPr>
          <w:p>
            <w:r>
              <w:rPr>
                <w:sz w:val="18"/>
              </w:rPr>
              <w:t>Permitted</w:t>
            </w:r>
          </w:p>
        </w:tc>
        <w:tc>
          <w:tcPr>
            <w:tcW w:type="dxa" w:w="1728"/>
          </w:tcPr>
          <w:p>
            <w:r>
              <w:rPr>
                <w:sz w:val="18"/>
              </w:rPr>
              <w:t>Approved vendors only</w:t>
            </w:r>
          </w:p>
        </w:tc>
        <w:tc>
          <w:tcPr>
            <w:tcW w:type="dxa" w:w="2448"/>
          </w:tcPr>
          <w:p>
            <w:r>
              <w:rPr>
                <w:sz w:val="18"/>
              </w:rPr>
              <w:t>Prohibited without BAA</w:t>
            </w:r>
          </w:p>
        </w:tc>
      </w:tr>
      <w:tr>
        <w:tc>
          <w:tcPr>
            <w:tcW w:type="dxa" w:w="2160"/>
          </w:tcPr>
          <w:p>
            <w:r>
              <w:rPr>
                <w:sz w:val="18"/>
              </w:rPr>
              <w:t>Disposal</w:t>
            </w:r>
          </w:p>
        </w:tc>
        <w:tc>
          <w:tcPr>
            <w:tcW w:type="dxa" w:w="1296"/>
          </w:tcPr>
          <w:p>
            <w:r>
              <w:rPr>
                <w:sz w:val="18"/>
              </w:rPr>
              <w:t>Standard</w:t>
            </w:r>
          </w:p>
        </w:tc>
        <w:tc>
          <w:tcPr>
            <w:tcW w:type="dxa" w:w="1296"/>
          </w:tcPr>
          <w:p>
            <w:r>
              <w:rPr>
                <w:sz w:val="18"/>
              </w:rPr>
              <w:t>Standard</w:t>
            </w:r>
          </w:p>
        </w:tc>
        <w:tc>
          <w:tcPr>
            <w:tcW w:type="dxa" w:w="1728"/>
          </w:tcPr>
          <w:p>
            <w:r>
              <w:rPr>
                <w:sz w:val="18"/>
              </w:rPr>
              <w:t>Secure deletion</w:t>
            </w:r>
          </w:p>
        </w:tc>
        <w:tc>
          <w:tcPr>
            <w:tcW w:type="dxa" w:w="2448"/>
          </w:tcPr>
          <w:p>
            <w:r>
              <w:rPr>
                <w:sz w:val="18"/>
              </w:rPr>
              <w:t>Secure deletion + record</w:t>
            </w:r>
          </w:p>
        </w:tc>
      </w:tr>
    </w:tbl>
    <w:p/>
    <w:p>
      <w:pPr>
        <w:pStyle w:val="Heading1"/>
      </w:pPr>
      <w:r>
        <w:t>5. PHI-specific requirements</w:t>
      </w:r>
    </w:p>
    <w:p>
      <w:r>
        <w:t>PHI is always Restricted. The platform's PHI surface is the case-management module and the audio transcription pipeline.</w:t>
      </w:r>
    </w:p>
    <w:p>
      <w:pPr>
        <w:pStyle w:val="ListBullet"/>
      </w:pPr>
      <w:r>
        <w:t>Access to PHI is limited to the minimum necessary for the role (HIPAA 164.502(b)).</w:t>
      </w:r>
    </w:p>
    <w:p>
      <w:pPr>
        <w:pStyle w:val="ListBullet"/>
      </w:pPr>
      <w:r>
        <w:t>Every access to a PHI-bearing endpoint is recorded in the audit log, which captures who, what route, when, and source address - and deliberately does not capture request bodies or query strings, because an audit log that contains PHI is itself a breach surface.</w:t>
      </w:r>
    </w:p>
    <w:p>
      <w:pPr>
        <w:pStyle w:val="ListBullet"/>
      </w:pPr>
      <w:r>
        <w:t>PHI must not be transmitted to any AI provider that has not executed a Business Associate Agreement. This is a live constraint, not a hypothetical: see AGT-AIGOV-013 and the vendor register in AGT-VRM-012.</w:t>
      </w:r>
    </w:p>
    <w:p>
      <w:pPr>
        <w:pStyle w:val="ListBullet"/>
      </w:pPr>
      <w:r>
        <w:t>PHI is not permitted in log messages, error responses, URLs, or ticket systems.</w:t>
      </w:r>
    </w:p>
    <w:p>
      <w:pPr>
        <w:pStyle w:val="Heading1"/>
      </w:pPr>
      <w:r>
        <w:t>6. Labeling</w:t>
      </w:r>
    </w:p>
    <w:p>
      <w:pPr>
        <w:pStyle w:val="ListBullet"/>
      </w:pPr>
      <w:r>
        <w:t>Documents carry their classification in the footer of every page.</w:t>
      </w:r>
    </w:p>
    <w:p>
      <w:pPr>
        <w:pStyle w:val="ListBullet"/>
      </w:pPr>
      <w:r>
        <w:t>Data stores are labeled at the schema or container level; a table holding any Restricted column is treated as Restricted in its entirety.</w:t>
      </w:r>
    </w:p>
    <w:p>
      <w:pPr>
        <w:pStyle w:val="ListBullet"/>
      </w:pPr>
      <w:r>
        <w:t>Source files handling Restricted data carry a module docstring stating so.</w:t>
      </w:r>
    </w:p>
    <w:p>
      <w:pPr>
        <w:pStyle w:val="ListBullet"/>
      </w:pPr>
      <w:r>
        <w:t>Azure resources holding Restricted data are tagged dataClassification=Restricted.</w:t>
      </w:r>
    </w:p>
    <w:p>
      <w:pPr>
        <w:pStyle w:val="Heading1"/>
      </w:pPr>
      <w:r>
        <w:t>7. Declassification and de-identification</w:t>
      </w:r>
    </w:p>
    <w:p>
      <w:r>
        <w:t>Data may be reclassified downward only through a documented process. For PHI this means de-identification under 45 CFR 164.514 by either the Safe Harbor method (removal of all 18 identifiers) or Expert Determination. Aggregate statistics derived from PHI are not automatically de-identified: small cell sizes can re-identify individuals, and any published aggregate must be reviewed for that risk before release.</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Data Owner (CEO)</w:t>
            </w:r>
          </w:p>
        </w:tc>
        <w:tc>
          <w:tcPr>
            <w:tcW w:type="dxa" w:w="6336"/>
          </w:tcPr>
          <w:p>
            <w:r>
              <w:rPr>
                <w:sz w:val="18"/>
              </w:rPr>
              <w:t>Approves classification of new data types.</w:t>
            </w:r>
          </w:p>
        </w:tc>
      </w:tr>
      <w:tr>
        <w:tc>
          <w:tcPr>
            <w:tcW w:type="dxa" w:w="2592"/>
          </w:tcPr>
          <w:p>
            <w:r>
              <w:rPr>
                <w:sz w:val="18"/>
              </w:rPr>
              <w:t>Privacy Officer</w:t>
            </w:r>
          </w:p>
        </w:tc>
        <w:tc>
          <w:tcPr>
            <w:tcW w:type="dxa" w:w="6336"/>
          </w:tcPr>
          <w:p>
            <w:r>
              <w:rPr>
                <w:sz w:val="18"/>
              </w:rPr>
              <w:t>Determines PHI classification; approves de-identification.</w:t>
            </w:r>
          </w:p>
        </w:tc>
      </w:tr>
      <w:tr>
        <w:tc>
          <w:tcPr>
            <w:tcW w:type="dxa" w:w="2592"/>
          </w:tcPr>
          <w:p>
            <w:r>
              <w:rPr>
                <w:sz w:val="18"/>
              </w:rPr>
              <w:t>Security Officer</w:t>
            </w:r>
          </w:p>
        </w:tc>
        <w:tc>
          <w:tcPr>
            <w:tcW w:type="dxa" w:w="6336"/>
          </w:tcPr>
          <w:p>
            <w:r>
              <w:rPr>
                <w:sz w:val="18"/>
              </w:rPr>
              <w:t>Verifies handling controls match classification.</w:t>
            </w:r>
          </w:p>
        </w:tc>
      </w:tr>
      <w:tr>
        <w:tc>
          <w:tcPr>
            <w:tcW w:type="dxa" w:w="2592"/>
          </w:tcPr>
          <w:p>
            <w:r>
              <w:rPr>
                <w:sz w:val="18"/>
              </w:rPr>
              <w:t>Engineering</w:t>
            </w:r>
          </w:p>
        </w:tc>
        <w:tc>
          <w:tcPr>
            <w:tcW w:type="dxa" w:w="6336"/>
          </w:tcPr>
          <w:p>
            <w:r>
              <w:rPr>
                <w:sz w:val="18"/>
              </w:rPr>
              <w:t>Implements labeling, encryption, and audit capture.</w:t>
            </w:r>
          </w:p>
        </w:tc>
      </w:tr>
      <w:tr>
        <w:tc>
          <w:tcPr>
            <w:tcW w:type="dxa" w:w="2592"/>
          </w:tcPr>
          <w:p>
            <w:r>
              <w:rPr>
                <w:sz w:val="18"/>
              </w:rPr>
              <w:t>All personnel</w:t>
            </w:r>
          </w:p>
        </w:tc>
        <w:tc>
          <w:tcPr>
            <w:tcW w:type="dxa" w:w="6336"/>
          </w:tcPr>
          <w:p>
            <w:r>
              <w:rPr>
                <w:sz w:val="18"/>
              </w:rPr>
              <w:t>Classify data they create; handle per its level.</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RA-2, MP-3, SC-28</w:t>
            </w:r>
          </w:p>
        </w:tc>
        <w:tc>
          <w:tcPr>
            <w:tcW w:type="dxa" w:w="4320"/>
          </w:tcPr>
          <w:p>
            <w:r>
              <w:rPr>
                <w:sz w:val="18"/>
              </w:rPr>
              <w:t>Security categorization, media marking, protection at rest.</w:t>
            </w:r>
          </w:p>
        </w:tc>
        <w:tc>
          <w:tcPr>
            <w:tcW w:type="dxa" w:w="1152"/>
          </w:tcPr>
          <w:p>
            <w:r>
              <w:rPr>
                <w:sz w:val="18"/>
              </w:rPr>
              <w:t>Met</w:t>
            </w:r>
          </w:p>
        </w:tc>
      </w:tr>
      <w:tr>
        <w:tc>
          <w:tcPr>
            <w:tcW w:type="dxa" w:w="1584"/>
          </w:tcPr>
          <w:p>
            <w:r>
              <w:rPr>
                <w:sz w:val="18"/>
              </w:rPr>
              <w:t>HIPAA</w:t>
            </w:r>
          </w:p>
        </w:tc>
        <w:tc>
          <w:tcPr>
            <w:tcW w:type="dxa" w:w="2160"/>
          </w:tcPr>
          <w:p>
            <w:r>
              <w:rPr>
                <w:sz w:val="18"/>
              </w:rPr>
              <w:t>164.502(b)</w:t>
            </w:r>
          </w:p>
        </w:tc>
        <w:tc>
          <w:tcPr>
            <w:tcW w:type="dxa" w:w="4320"/>
          </w:tcPr>
          <w:p>
            <w:r>
              <w:rPr>
                <w:sz w:val="18"/>
              </w:rPr>
              <w:t>Minimum necessary standard for PHI use and disclosure.</w:t>
            </w:r>
          </w:p>
        </w:tc>
        <w:tc>
          <w:tcPr>
            <w:tcW w:type="dxa" w:w="1152"/>
          </w:tcPr>
          <w:p>
            <w:r>
              <w:rPr>
                <w:sz w:val="18"/>
              </w:rPr>
              <w:t>Met</w:t>
            </w:r>
          </w:p>
        </w:tc>
      </w:tr>
      <w:tr>
        <w:tc>
          <w:tcPr>
            <w:tcW w:type="dxa" w:w="1584"/>
          </w:tcPr>
          <w:p>
            <w:r>
              <w:rPr>
                <w:sz w:val="18"/>
              </w:rPr>
              <w:t>HIPAA</w:t>
            </w:r>
          </w:p>
        </w:tc>
        <w:tc>
          <w:tcPr>
            <w:tcW w:type="dxa" w:w="2160"/>
          </w:tcPr>
          <w:p>
            <w:r>
              <w:rPr>
                <w:sz w:val="18"/>
              </w:rPr>
              <w:t>164.514</w:t>
            </w:r>
          </w:p>
        </w:tc>
        <w:tc>
          <w:tcPr>
            <w:tcW w:type="dxa" w:w="4320"/>
          </w:tcPr>
          <w:p>
            <w:r>
              <w:rPr>
                <w:sz w:val="18"/>
              </w:rPr>
              <w:t>De-identification standard and re-identification risk.</w:t>
            </w:r>
          </w:p>
        </w:tc>
        <w:tc>
          <w:tcPr>
            <w:tcW w:type="dxa" w:w="1152"/>
          </w:tcPr>
          <w:p>
            <w:r>
              <w:rPr>
                <w:sz w:val="18"/>
              </w:rPr>
              <w:t>Met</w:t>
            </w:r>
          </w:p>
        </w:tc>
      </w:tr>
      <w:tr>
        <w:tc>
          <w:tcPr>
            <w:tcW w:type="dxa" w:w="1584"/>
          </w:tcPr>
          <w:p>
            <w:r>
              <w:rPr>
                <w:sz w:val="18"/>
              </w:rPr>
              <w:t>SOC 2</w:t>
            </w:r>
          </w:p>
        </w:tc>
        <w:tc>
          <w:tcPr>
            <w:tcW w:type="dxa" w:w="2160"/>
          </w:tcPr>
          <w:p>
            <w:r>
              <w:rPr>
                <w:sz w:val="18"/>
              </w:rPr>
              <w:t>CC3.2, C1.1</w:t>
            </w:r>
          </w:p>
        </w:tc>
        <w:tc>
          <w:tcPr>
            <w:tcW w:type="dxa" w:w="4320"/>
          </w:tcPr>
          <w:p>
            <w:r>
              <w:rPr>
                <w:sz w:val="18"/>
              </w:rPr>
              <w:t>Risk identification; confidential information handling.</w:t>
            </w:r>
          </w:p>
        </w:tc>
        <w:tc>
          <w:tcPr>
            <w:tcW w:type="dxa" w:w="1152"/>
          </w:tcPr>
          <w:p>
            <w:r>
              <w:rPr>
                <w:sz w:val="18"/>
              </w:rPr>
              <w:t>Met</w:t>
            </w:r>
          </w:p>
        </w:tc>
      </w:tr>
      <w:tr>
        <w:tc>
          <w:tcPr>
            <w:tcW w:type="dxa" w:w="1584"/>
          </w:tcPr>
          <w:p>
            <w:r>
              <w:rPr>
                <w:sz w:val="18"/>
              </w:rPr>
              <w:t>ISO 27001</w:t>
            </w:r>
          </w:p>
        </w:tc>
        <w:tc>
          <w:tcPr>
            <w:tcW w:type="dxa" w:w="2160"/>
          </w:tcPr>
          <w:p>
            <w:r>
              <w:rPr>
                <w:sz w:val="18"/>
              </w:rPr>
              <w:t>A.5.12, A.5.13</w:t>
            </w:r>
          </w:p>
        </w:tc>
        <w:tc>
          <w:tcPr>
            <w:tcW w:type="dxa" w:w="4320"/>
          </w:tcPr>
          <w:p>
            <w:r>
              <w:rPr>
                <w:sz w:val="18"/>
              </w:rPr>
              <w:t>Classification and labelling of information.</w:t>
            </w:r>
          </w:p>
        </w:tc>
        <w:tc>
          <w:tcPr>
            <w:tcW w:type="dxa" w:w="1152"/>
          </w:tcPr>
          <w:p>
            <w:r>
              <w:rPr>
                <w:sz w:val="18"/>
              </w:rPr>
              <w:t>Met</w:t>
            </w:r>
          </w:p>
        </w:tc>
      </w:tr>
      <w:tr>
        <w:tc>
          <w:tcPr>
            <w:tcW w:type="dxa" w:w="1584"/>
          </w:tcPr>
          <w:p>
            <w:r>
              <w:rPr>
                <w:sz w:val="18"/>
              </w:rPr>
              <w:t>CMMI L3</w:t>
            </w:r>
          </w:p>
        </w:tc>
        <w:tc>
          <w:tcPr>
            <w:tcW w:type="dxa" w:w="2160"/>
          </w:tcPr>
          <w:p>
            <w:r>
              <w:rPr>
                <w:sz w:val="18"/>
              </w:rPr>
              <w:t>OPD</w:t>
            </w:r>
          </w:p>
        </w:tc>
        <w:tc>
          <w:tcPr>
            <w:tcW w:type="dxa" w:w="4320"/>
          </w:tcPr>
          <w:p>
            <w:r>
              <w:rPr>
                <w:sz w:val="18"/>
              </w:rPr>
              <w:t>Defined organizational asset classification process.</w:t>
            </w:r>
          </w:p>
        </w:tc>
        <w:tc>
          <w:tcPr>
            <w:tcW w:type="dxa" w:w="1152"/>
          </w:tcPr>
          <w:p>
            <w:r>
              <w:rPr>
                <w:sz w:val="18"/>
              </w:rPr>
              <w:t>Met</w:t>
            </w:r>
          </w:p>
        </w:tc>
      </w:tr>
      <w:tr>
        <w:tc>
          <w:tcPr>
            <w:tcW w:type="dxa" w:w="1584"/>
          </w:tcPr>
          <w:p>
            <w:r>
              <w:rPr>
                <w:sz w:val="18"/>
              </w:rPr>
              <w:t>FedRAMP</w:t>
            </w:r>
          </w:p>
        </w:tc>
        <w:tc>
          <w:tcPr>
            <w:tcW w:type="dxa" w:w="2160"/>
          </w:tcPr>
          <w:p>
            <w:r>
              <w:rPr>
                <w:sz w:val="18"/>
              </w:rPr>
              <w:t>RA-2</w:t>
            </w:r>
          </w:p>
        </w:tc>
        <w:tc>
          <w:tcPr>
            <w:tcW w:type="dxa" w:w="4320"/>
          </w:tcPr>
          <w:p>
            <w:r>
              <w:rPr>
                <w:sz w:val="18"/>
              </w:rPr>
              <w:t>Security categorization consistent with FIPS 199 MODERATE.</w:t>
            </w:r>
          </w:p>
        </w:tc>
        <w:tc>
          <w:tcPr>
            <w:tcW w:type="dxa" w:w="1152"/>
          </w:tcPr>
          <w:p>
            <w:r>
              <w:rPr>
                <w:sz w:val="18"/>
              </w:rPr>
              <w:t>Met</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AGT-DRP-007</w:t>
            </w:r>
          </w:p>
        </w:tc>
        <w:tc>
          <w:tcPr>
            <w:tcW w:type="dxa" w:w="4176"/>
          </w:tcPr>
          <w:p>
            <w:r>
              <w:rPr>
                <w:sz w:val="18"/>
              </w:rPr>
              <w:t>Data Retention Policy</w:t>
            </w:r>
          </w:p>
        </w:tc>
        <w:tc>
          <w:tcPr>
            <w:tcW w:type="dxa" w:w="3168"/>
          </w:tcPr>
          <w:p>
            <w:r>
              <w:rPr>
                <w:sz w:val="18"/>
              </w:rPr>
              <w:t>Retention schedules keyed to these levels</w:t>
            </w:r>
          </w:p>
        </w:tc>
      </w:tr>
      <w:tr>
        <w:tc>
          <w:tcPr>
            <w:tcW w:type="dxa" w:w="1872"/>
          </w:tcPr>
          <w:p>
            <w:r>
              <w:rPr>
                <w:sz w:val="18"/>
              </w:rPr>
              <w:t>AGT-MPP-008</w:t>
            </w:r>
          </w:p>
        </w:tc>
        <w:tc>
          <w:tcPr>
            <w:tcW w:type="dxa" w:w="4176"/>
          </w:tcPr>
          <w:p>
            <w:r>
              <w:rPr>
                <w:sz w:val="18"/>
              </w:rPr>
              <w:t>Media Protection Policy</w:t>
            </w:r>
          </w:p>
        </w:tc>
        <w:tc>
          <w:tcPr>
            <w:tcW w:type="dxa" w:w="3168"/>
          </w:tcPr>
          <w:p>
            <w:r>
              <w:rPr>
                <w:sz w:val="18"/>
              </w:rPr>
              <w:t>Media handling by classification</w:t>
            </w:r>
          </w:p>
        </w:tc>
      </w:tr>
      <w:tr>
        <w:tc>
          <w:tcPr>
            <w:tcW w:type="dxa" w:w="1872"/>
          </w:tcPr>
          <w:p>
            <w:r>
              <w:rPr>
                <w:sz w:val="18"/>
              </w:rPr>
              <w:t>AGT-CKM-009</w:t>
            </w:r>
          </w:p>
        </w:tc>
        <w:tc>
          <w:tcPr>
            <w:tcW w:type="dxa" w:w="4176"/>
          </w:tcPr>
          <w:p>
            <w:r>
              <w:rPr>
                <w:sz w:val="18"/>
              </w:rPr>
              <w:t>Cryptographic Key Management Policy</w:t>
            </w:r>
          </w:p>
        </w:tc>
        <w:tc>
          <w:tcPr>
            <w:tcW w:type="dxa" w:w="3168"/>
          </w:tcPr>
          <w:p>
            <w:r>
              <w:rPr>
                <w:sz w:val="18"/>
              </w:rPr>
              <w:t>Encryption requirements referenced here</w:t>
            </w:r>
          </w:p>
        </w:tc>
      </w:tr>
      <w:tr>
        <w:tc>
          <w:tcPr>
            <w:tcW w:type="dxa" w:w="1872"/>
          </w:tcPr>
          <w:p>
            <w:r>
              <w:rPr>
                <w:sz w:val="18"/>
              </w:rPr>
              <w:t>AGT-AIGOV-013</w:t>
            </w:r>
          </w:p>
        </w:tc>
        <w:tc>
          <w:tcPr>
            <w:tcW w:type="dxa" w:w="4176"/>
          </w:tcPr>
          <w:p>
            <w:r>
              <w:rPr>
                <w:sz w:val="18"/>
              </w:rPr>
              <w:t>AI Governance Policy</w:t>
            </w:r>
          </w:p>
        </w:tc>
        <w:tc>
          <w:tcPr>
            <w:tcW w:type="dxa" w:w="3168"/>
          </w:tcPr>
          <w:p>
            <w:r>
              <w:rPr>
                <w:sz w:val="18"/>
              </w:rPr>
              <w:t>Restricts which classes may reach AI providers</w:t>
            </w:r>
          </w:p>
        </w:tc>
      </w:tr>
      <w:tr>
        <w:tc>
          <w:tcPr>
            <w:tcW w:type="dxa" w:w="1872"/>
          </w:tcPr>
          <w:p>
            <w:r>
              <w:rPr>
                <w:sz w:val="18"/>
              </w:rPr>
              <w:t>AGT-PPF-014</w:t>
            </w:r>
          </w:p>
        </w:tc>
        <w:tc>
          <w:tcPr>
            <w:tcW w:type="dxa" w:w="4176"/>
          </w:tcPr>
          <w:p>
            <w:r>
              <w:rPr>
                <w:sz w:val="18"/>
              </w:rPr>
              <w:t>Privacy Policy Framework</w:t>
            </w:r>
          </w:p>
        </w:tc>
        <w:tc>
          <w:tcPr>
            <w:tcW w:type="dxa" w:w="3168"/>
          </w:tcPr>
          <w:p>
            <w:r>
              <w:rPr>
                <w:sz w:val="18"/>
              </w:rPr>
              <w:t>Privacy handling of PII and PHI</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AGT-DCP-006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