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Disaster Recovery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AGT-DRP-021</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defines the technical procedures, objectives, and testing regime for recovering the DocuAction TEFCA ARC platform after a destructive event. It is the technical counterpart to AGT-BCP-020.</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Recovery objectives</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fill="0F2B4C"/>
          </w:tcPr>
          <w:p>
            <w:r>
              <w:rPr>
                <w:b/>
                <w:color w:val="FFFFFF"/>
                <w:sz w:val="18"/>
              </w:rPr>
              <w:t>System</w:t>
            </w:r>
          </w:p>
        </w:tc>
        <w:tc>
          <w:tcPr>
            <w:tcW w:type="dxa" w:w="1440"/>
            <w:shd w:val="clear" w:fill="0F2B4C"/>
          </w:tcPr>
          <w:p>
            <w:r>
              <w:rPr>
                <w:b/>
                <w:color w:val="FFFFFF"/>
                <w:sz w:val="18"/>
              </w:rPr>
              <w:t>RTO</w:t>
            </w:r>
          </w:p>
        </w:tc>
        <w:tc>
          <w:tcPr>
            <w:tcW w:type="dxa" w:w="2160"/>
            <w:shd w:val="clear" w:fill="0F2B4C"/>
          </w:tcPr>
          <w:p>
            <w:r>
              <w:rPr>
                <w:b/>
                <w:color w:val="FFFFFF"/>
                <w:sz w:val="18"/>
              </w:rPr>
              <w:t>RPO</w:t>
            </w:r>
          </w:p>
        </w:tc>
        <w:tc>
          <w:tcPr>
            <w:tcW w:type="dxa" w:w="2592"/>
            <w:shd w:val="clear" w:fill="0F2B4C"/>
          </w:tcPr>
          <w:p>
            <w:r>
              <w:rPr>
                <w:b/>
                <w:color w:val="FFFFFF"/>
                <w:sz w:val="18"/>
              </w:rPr>
              <w:t>Basis</w:t>
            </w:r>
          </w:p>
        </w:tc>
      </w:tr>
      <w:tr>
        <w:tc>
          <w:tcPr>
            <w:tcW w:type="dxa" w:w="2736"/>
          </w:tcPr>
          <w:p>
            <w:r>
              <w:rPr>
                <w:sz w:val="18"/>
              </w:rPr>
              <w:t>Backend API (App Service)</w:t>
            </w:r>
          </w:p>
        </w:tc>
        <w:tc>
          <w:tcPr>
            <w:tcW w:type="dxa" w:w="1440"/>
          </w:tcPr>
          <w:p>
            <w:r>
              <w:rPr>
                <w:sz w:val="18"/>
              </w:rPr>
              <w:t>4 hours</w:t>
            </w:r>
          </w:p>
        </w:tc>
        <w:tc>
          <w:tcPr>
            <w:tcW w:type="dxa" w:w="2160"/>
          </w:tcPr>
          <w:p>
            <w:r>
              <w:rPr>
                <w:sz w:val="18"/>
              </w:rPr>
              <w:t>Not applicable (stateless)</w:t>
            </w:r>
          </w:p>
        </w:tc>
        <w:tc>
          <w:tcPr>
            <w:tcW w:type="dxa" w:w="2592"/>
          </w:tcPr>
          <w:p>
            <w:r>
              <w:rPr>
                <w:sz w:val="18"/>
              </w:rPr>
              <w:t>Redeploy from tagged artifact</w:t>
            </w:r>
          </w:p>
        </w:tc>
      </w:tr>
      <w:tr>
        <w:tc>
          <w:tcPr>
            <w:tcW w:type="dxa" w:w="2736"/>
          </w:tcPr>
          <w:p>
            <w:r>
              <w:rPr>
                <w:sz w:val="18"/>
              </w:rPr>
              <w:t>Database (PostgreSQL)</w:t>
            </w:r>
          </w:p>
        </w:tc>
        <w:tc>
          <w:tcPr>
            <w:tcW w:type="dxa" w:w="1440"/>
          </w:tcPr>
          <w:p>
            <w:r>
              <w:rPr>
                <w:sz w:val="18"/>
              </w:rPr>
              <w:t>8 hours</w:t>
            </w:r>
          </w:p>
        </w:tc>
        <w:tc>
          <w:tcPr>
            <w:tcW w:type="dxa" w:w="2160"/>
          </w:tcPr>
          <w:p>
            <w:r>
              <w:rPr>
                <w:sz w:val="18"/>
              </w:rPr>
              <w:t>15 minutes</w:t>
            </w:r>
          </w:p>
        </w:tc>
        <w:tc>
          <w:tcPr>
            <w:tcW w:type="dxa" w:w="2592"/>
          </w:tcPr>
          <w:p>
            <w:r>
              <w:rPr>
                <w:sz w:val="18"/>
              </w:rPr>
              <w:t>Point-in-time restore granularity</w:t>
            </w:r>
          </w:p>
        </w:tc>
      </w:tr>
      <w:tr>
        <w:tc>
          <w:tcPr>
            <w:tcW w:type="dxa" w:w="2736"/>
          </w:tcPr>
          <w:p>
            <w:r>
              <w:rPr>
                <w:sz w:val="18"/>
              </w:rPr>
              <w:t>Frontend (Static Web Apps)</w:t>
            </w:r>
          </w:p>
        </w:tc>
        <w:tc>
          <w:tcPr>
            <w:tcW w:type="dxa" w:w="1440"/>
          </w:tcPr>
          <w:p>
            <w:r>
              <w:rPr>
                <w:sz w:val="18"/>
              </w:rPr>
              <w:t>2 hours</w:t>
            </w:r>
          </w:p>
        </w:tc>
        <w:tc>
          <w:tcPr>
            <w:tcW w:type="dxa" w:w="2160"/>
          </w:tcPr>
          <w:p>
            <w:r>
              <w:rPr>
                <w:sz w:val="18"/>
              </w:rPr>
              <w:t>Not applicable (rebuilt from source)</w:t>
            </w:r>
          </w:p>
        </w:tc>
        <w:tc>
          <w:tcPr>
            <w:tcW w:type="dxa" w:w="2592"/>
          </w:tcPr>
          <w:p>
            <w:r>
              <w:rPr>
                <w:sz w:val="18"/>
              </w:rPr>
              <w:t>Rebuild and redeploy</w:t>
            </w:r>
          </w:p>
        </w:tc>
      </w:tr>
      <w:tr>
        <w:tc>
          <w:tcPr>
            <w:tcW w:type="dxa" w:w="2736"/>
          </w:tcPr>
          <w:p>
            <w:r>
              <w:rPr>
                <w:sz w:val="18"/>
              </w:rPr>
              <w:t>Key Vault</w:t>
            </w:r>
          </w:p>
        </w:tc>
        <w:tc>
          <w:tcPr>
            <w:tcW w:type="dxa" w:w="1440"/>
          </w:tcPr>
          <w:p>
            <w:r>
              <w:rPr>
                <w:sz w:val="18"/>
              </w:rPr>
              <w:t>2 hours</w:t>
            </w:r>
          </w:p>
        </w:tc>
        <w:tc>
          <w:tcPr>
            <w:tcW w:type="dxa" w:w="2160"/>
          </w:tcPr>
          <w:p>
            <w:r>
              <w:rPr>
                <w:sz w:val="18"/>
              </w:rPr>
              <w:t>0</w:t>
            </w:r>
          </w:p>
        </w:tc>
        <w:tc>
          <w:tcPr>
            <w:tcW w:type="dxa" w:w="2592"/>
          </w:tcPr>
          <w:p>
            <w:r>
              <w:rPr>
                <w:sz w:val="18"/>
              </w:rPr>
              <w:t>Soft delete recovery</w:t>
            </w:r>
          </w:p>
        </w:tc>
      </w:tr>
      <w:tr>
        <w:tc>
          <w:tcPr>
            <w:tcW w:type="dxa" w:w="2736"/>
          </w:tcPr>
          <w:p>
            <w:r>
              <w:rPr>
                <w:sz w:val="18"/>
              </w:rPr>
              <w:t>Identity (Entra ID)</w:t>
            </w:r>
          </w:p>
        </w:tc>
        <w:tc>
          <w:tcPr>
            <w:tcW w:type="dxa" w:w="1440"/>
          </w:tcPr>
          <w:p>
            <w:r>
              <w:rPr>
                <w:sz w:val="18"/>
              </w:rPr>
              <w:t>Inherited from Microsoft</w:t>
            </w:r>
          </w:p>
        </w:tc>
        <w:tc>
          <w:tcPr>
            <w:tcW w:type="dxa" w:w="2160"/>
          </w:tcPr>
          <w:p>
            <w:r>
              <w:rPr>
                <w:sz w:val="18"/>
              </w:rPr>
              <w:t>Inherited</w:t>
            </w:r>
          </w:p>
        </w:tc>
        <w:tc>
          <w:tcPr>
            <w:tcW w:type="dxa" w:w="2592"/>
          </w:tcPr>
          <w:p>
            <w:r>
              <w:rPr>
                <w:sz w:val="18"/>
              </w:rPr>
              <w:t>Microsoft SLA</w:t>
            </w:r>
          </w:p>
        </w:tc>
      </w:tr>
      <w:tr>
        <w:tc>
          <w:tcPr>
            <w:tcW w:type="dxa" w:w="2736"/>
          </w:tcPr>
          <w:p>
            <w:r>
              <w:rPr>
                <w:sz w:val="18"/>
              </w:rPr>
              <w:t>Audit and compliance data</w:t>
            </w:r>
          </w:p>
        </w:tc>
        <w:tc>
          <w:tcPr>
            <w:tcW w:type="dxa" w:w="1440"/>
          </w:tcPr>
          <w:p>
            <w:r>
              <w:rPr>
                <w:sz w:val="18"/>
              </w:rPr>
              <w:t>24 hours</w:t>
            </w:r>
          </w:p>
        </w:tc>
        <w:tc>
          <w:tcPr>
            <w:tcW w:type="dxa" w:w="2160"/>
          </w:tcPr>
          <w:p>
            <w:r>
              <w:rPr>
                <w:sz w:val="18"/>
              </w:rPr>
              <w:t>15 minutes</w:t>
            </w:r>
          </w:p>
        </w:tc>
        <w:tc>
          <w:tcPr>
            <w:tcW w:type="dxa" w:w="2592"/>
          </w:tcPr>
          <w:p>
            <w:r>
              <w:rPr>
                <w:sz w:val="18"/>
              </w:rPr>
              <w:t>Included in database restore</w:t>
            </w:r>
          </w:p>
        </w:tc>
      </w:tr>
    </w:tbl>
    <w:p/>
    <w:p>
      <w:r>
        <w:t>RTO and RPO are objectives derived from tolerable outage in AGT-BCP-020, not measurements. The annual geo-restore test is what converts them from a target into a verified capability, and the test record states the achieved figures alongside the objectives.</w:t>
      </w:r>
    </w:p>
    <w:p>
      <w:pPr>
        <w:pStyle w:val="Heading1"/>
      </w:pPr>
      <w:r>
        <w:t>4. Disaster scenarios and procedures</w:t>
      </w:r>
    </w:p>
    <w:p>
      <w:pPr>
        <w:pStyle w:val="Heading2"/>
      </w:pPr>
      <w:r>
        <w:t>4.1 Database corruption or accidental destructive change</w:t>
      </w:r>
    </w:p>
    <w:p>
      <w:pPr>
        <w:pStyle w:val="ListNumber"/>
      </w:pPr>
      <w:r>
        <w:t>Stop writes to the affected database if the corruption is ongoing.</w:t>
      </w:r>
    </w:p>
    <w:p>
      <w:pPr>
        <w:pStyle w:val="ListNumber"/>
      </w:pPr>
      <w:r>
        <w:t>Identify a recovery point preceding the corrupting event.</w:t>
      </w:r>
    </w:p>
    <w:p>
      <w:pPr>
        <w:pStyle w:val="ListNumber"/>
      </w:pPr>
      <w:r>
        <w:t>Restore to a NEW server. Never restore over the live server - it eliminates the ability to compare states and destroys evidence.</w:t>
      </w:r>
    </w:p>
    <w:p>
      <w:pPr>
        <w:pStyle w:val="ListNumber"/>
      </w:pPr>
      <w:r>
        <w:t>Verify integrity on the restored copy before repointing.</w:t>
      </w:r>
    </w:p>
    <w:p>
      <w:pPr>
        <w:pStyle w:val="ListNumber"/>
      </w:pPr>
      <w:r>
        <w:t>Update the application connection to the restored server.</w:t>
      </w:r>
    </w:p>
    <w:p>
      <w:pPr>
        <w:pStyle w:val="ListNumber"/>
      </w:pPr>
      <w:r>
        <w:t>Confirm the application serves correctly, then decommission the corrupted server after any forensic need is satisfied.</w:t>
      </w:r>
    </w:p>
    <w:p>
      <w:pPr>
        <w:pStyle w:val="Heading2"/>
      </w:pPr>
      <w:r>
        <w:t>4.2 Regional outage</w:t>
      </w:r>
    </w:p>
    <w:p>
      <w:pPr>
        <w:pStyle w:val="ListNumber"/>
      </w:pPr>
      <w:r>
        <w:t>Confirm the scope of the outage through the Azure status page and the portal.</w:t>
      </w:r>
    </w:p>
    <w:p>
      <w:pPr>
        <w:pStyle w:val="ListNumber"/>
      </w:pPr>
      <w:r>
        <w:t>Geo-restore the database to the paired region.</w:t>
      </w:r>
    </w:p>
    <w:p>
      <w:pPr>
        <w:pStyle w:val="ListNumber"/>
      </w:pPr>
      <w:r>
        <w:t>Deploy the backend from the current release tag to an App Service in the recovery region.</w:t>
      </w:r>
    </w:p>
    <w:p>
      <w:pPr>
        <w:pStyle w:val="ListNumber"/>
      </w:pPr>
      <w:r>
        <w:t>Deploy the frontend build to a Static Web App in the recovery region.</w:t>
      </w:r>
    </w:p>
    <w:p>
      <w:pPr>
        <w:pStyle w:val="ListNumber"/>
      </w:pPr>
      <w:r>
        <w:t>Update DNS to the recovery endpoints; ensure the allowed-hosts configuration includes the new hostnames, or every request including health checks will be rejected with a 400.</w:t>
      </w:r>
    </w:p>
    <w:p>
      <w:pPr>
        <w:pStyle w:val="ListNumber"/>
      </w:pPr>
      <w:r>
        <w:t>Verify end to end, then notify stakeholders.</w:t>
      </w:r>
    </w:p>
    <w:p>
      <w:pPr>
        <w:pStyle w:val="Heading2"/>
      </w:pPr>
      <w:r>
        <w:t>4.3 Application compromise</w:t>
      </w:r>
    </w:p>
    <w:p>
      <w:pPr>
        <w:pStyle w:val="ListNumber"/>
      </w:pPr>
      <w:r>
        <w:t>Invoke AGT-IRP-022. Containment and evidence preservation precede recovery.</w:t>
      </w:r>
    </w:p>
    <w:p>
      <w:pPr>
        <w:pStyle w:val="ListNumber"/>
      </w:pPr>
      <w:r>
        <w:t>Rotate all credentials and the token signing key. Rotating the signing key invalidates every issued token, which is the intent.</w:t>
      </w:r>
    </w:p>
    <w:p>
      <w:pPr>
        <w:pStyle w:val="ListNumber"/>
      </w:pPr>
      <w:r>
        <w:t>Rebuild from a known-good tagged commit rather than repairing the running system.</w:t>
      </w:r>
    </w:p>
    <w:p>
      <w:pPr>
        <w:pStyle w:val="ListNumber"/>
      </w:pPr>
      <w:r>
        <w:t>Restore data from a recovery point preceding the compromise.</w:t>
      </w:r>
    </w:p>
    <w:p>
      <w:pPr>
        <w:pStyle w:val="ListNumber"/>
      </w:pPr>
      <w:r>
        <w:t>Verify integrity before returning to service.</w:t>
      </w:r>
    </w:p>
    <w:p>
      <w:pPr>
        <w:pStyle w:val="Heading2"/>
      </w:pPr>
      <w:r>
        <w:t>4.4 Accidental deletion of a cloud resource</w:t>
      </w:r>
    </w:p>
    <w:p>
      <w:pPr>
        <w:pStyle w:val="ListNumber"/>
      </w:pPr>
      <w:r>
        <w:t>Check for soft-delete recovery, which exists for Key Vault and some resources.</w:t>
      </w:r>
    </w:p>
    <w:p>
      <w:pPr>
        <w:pStyle w:val="ListNumber"/>
      </w:pPr>
      <w:r>
        <w:t>Recreate from the infrastructure definition in source control.</w:t>
      </w:r>
    </w:p>
    <w:p>
      <w:pPr>
        <w:pStyle w:val="ListNumber"/>
      </w:pPr>
      <w:r>
        <w:t>Reapply configuration from the documented baseline in AGT-CfMP-016.</w:t>
      </w:r>
    </w:p>
    <w:p>
      <w:pPr>
        <w:pStyle w:val="ListNumber"/>
      </w:pPr>
      <w:r>
        <w:t>Note that geo-redundant backup cannot be enabled after server creation; a recreated database server must have it selected at creation or the capability is permanently lost for that server.</w:t>
      </w:r>
    </w:p>
    <w:p>
      <w:pPr>
        <w:pStyle w:val="Heading1"/>
      </w:pPr>
      <w:r>
        <w:t>5. Dependencies for recovery</w:t>
      </w:r>
    </w:p>
    <w:tbl>
      <w:tblPr>
        <w:tblStyle w:val="TableGrid"/>
        <w:tblW w:type="auto" w:w="0"/>
        <w:tblLook w:firstColumn="1" w:firstRow="1" w:lastColumn="0" w:lastRow="0" w:noHBand="0" w:noVBand="1" w:val="04A0"/>
      </w:tblPr>
      <w:tblGrid>
        <w:gridCol w:w="3120"/>
        <w:gridCol w:w="3120"/>
        <w:gridCol w:w="3120"/>
      </w:tblGrid>
      <w:tr>
        <w:tc>
          <w:tcPr>
            <w:tcW w:type="dxa" w:w="2304"/>
            <w:shd w:val="clear" w:fill="0F2B4C"/>
          </w:tcPr>
          <w:p>
            <w:r>
              <w:rPr>
                <w:b/>
                <w:color w:val="FFFFFF"/>
                <w:sz w:val="18"/>
              </w:rPr>
              <w:t>Dependency</w:t>
            </w:r>
          </w:p>
        </w:tc>
        <w:tc>
          <w:tcPr>
            <w:tcW w:type="dxa" w:w="3168"/>
            <w:shd w:val="clear" w:fill="0F2B4C"/>
          </w:tcPr>
          <w:p>
            <w:r>
              <w:rPr>
                <w:b/>
                <w:color w:val="FFFFFF"/>
                <w:sz w:val="18"/>
              </w:rPr>
              <w:t>Why it is needed</w:t>
            </w:r>
          </w:p>
        </w:tc>
        <w:tc>
          <w:tcPr>
            <w:tcW w:type="dxa" w:w="3456"/>
            <w:shd w:val="clear" w:fill="0F2B4C"/>
          </w:tcPr>
          <w:p>
            <w:r>
              <w:rPr>
                <w:b/>
                <w:color w:val="FFFFFF"/>
                <w:sz w:val="18"/>
              </w:rPr>
              <w:t>Availability during a disaster</w:t>
            </w:r>
          </w:p>
        </w:tc>
      </w:tr>
      <w:tr>
        <w:tc>
          <w:tcPr>
            <w:tcW w:type="dxa" w:w="2304"/>
          </w:tcPr>
          <w:p>
            <w:r>
              <w:rPr>
                <w:sz w:val="18"/>
              </w:rPr>
              <w:t>Source repository (GitHub)</w:t>
            </w:r>
          </w:p>
        </w:tc>
        <w:tc>
          <w:tcPr>
            <w:tcW w:type="dxa" w:w="3168"/>
          </w:tcPr>
          <w:p>
            <w:r>
              <w:rPr>
                <w:sz w:val="18"/>
              </w:rPr>
              <w:t>Application and infrastructure definitions</w:t>
            </w:r>
          </w:p>
        </w:tc>
        <w:tc>
          <w:tcPr>
            <w:tcW w:type="dxa" w:w="3456"/>
          </w:tcPr>
          <w:p>
            <w:r>
              <w:rPr>
                <w:sz w:val="18"/>
              </w:rPr>
              <w:t>External to Azure; independent failure domain</w:t>
            </w:r>
          </w:p>
        </w:tc>
      </w:tr>
      <w:tr>
        <w:tc>
          <w:tcPr>
            <w:tcW w:type="dxa" w:w="2304"/>
          </w:tcPr>
          <w:p>
            <w:r>
              <w:rPr>
                <w:sz w:val="18"/>
              </w:rPr>
              <w:t>Release tags</w:t>
            </w:r>
          </w:p>
        </w:tc>
        <w:tc>
          <w:tcPr>
            <w:tcW w:type="dxa" w:w="3168"/>
          </w:tcPr>
          <w:p>
            <w:r>
              <w:rPr>
                <w:sz w:val="18"/>
              </w:rPr>
              <w:t>Identify the exact deployable version</w:t>
            </w:r>
          </w:p>
        </w:tc>
        <w:tc>
          <w:tcPr>
            <w:tcW w:type="dxa" w:w="3456"/>
          </w:tcPr>
          <w:p>
            <w:r>
              <w:rPr>
                <w:sz w:val="18"/>
              </w:rPr>
              <w:t>In the repository</w:t>
            </w:r>
          </w:p>
        </w:tc>
      </w:tr>
      <w:tr>
        <w:tc>
          <w:tcPr>
            <w:tcW w:type="dxa" w:w="2304"/>
          </w:tcPr>
          <w:p>
            <w:r>
              <w:rPr>
                <w:sz w:val="18"/>
              </w:rPr>
              <w:t>Azure credentials</w:t>
            </w:r>
          </w:p>
        </w:tc>
        <w:tc>
          <w:tcPr>
            <w:tcW w:type="dxa" w:w="3168"/>
          </w:tcPr>
          <w:p>
            <w:r>
              <w:rPr>
                <w:sz w:val="18"/>
              </w:rPr>
              <w:t>Perform recovery operations</w:t>
            </w:r>
          </w:p>
        </w:tc>
        <w:tc>
          <w:tcPr>
            <w:tcW w:type="dxa" w:w="3456"/>
          </w:tcPr>
          <w:p>
            <w:r>
              <w:rPr>
                <w:sz w:val="18"/>
              </w:rPr>
              <w:t>Held by named individuals; MFA required</w:t>
            </w:r>
          </w:p>
        </w:tc>
      </w:tr>
      <w:tr>
        <w:tc>
          <w:tcPr>
            <w:tcW w:type="dxa" w:w="2304"/>
          </w:tcPr>
          <w:p>
            <w:r>
              <w:rPr>
                <w:sz w:val="18"/>
              </w:rPr>
              <w:t>Runbooks</w:t>
            </w:r>
          </w:p>
        </w:tc>
        <w:tc>
          <w:tcPr>
            <w:tcW w:type="dxa" w:w="3168"/>
          </w:tcPr>
          <w:p>
            <w:r>
              <w:rPr>
                <w:sz w:val="18"/>
              </w:rPr>
              <w:t>Step-by-step procedures</w:t>
            </w:r>
          </w:p>
        </w:tc>
        <w:tc>
          <w:tcPr>
            <w:tcW w:type="dxa" w:w="3456"/>
          </w:tcPr>
          <w:p>
            <w:r>
              <w:rPr>
                <w:sz w:val="18"/>
              </w:rPr>
              <w:t>In the repository and available offline</w:t>
            </w:r>
          </w:p>
        </w:tc>
      </w:tr>
      <w:tr>
        <w:tc>
          <w:tcPr>
            <w:tcW w:type="dxa" w:w="2304"/>
          </w:tcPr>
          <w:p>
            <w:r>
              <w:rPr>
                <w:sz w:val="18"/>
              </w:rPr>
              <w:t>Contact list</w:t>
            </w:r>
          </w:p>
        </w:tc>
        <w:tc>
          <w:tcPr>
            <w:tcW w:type="dxa" w:w="3168"/>
          </w:tcPr>
          <w:p>
            <w:r>
              <w:rPr>
                <w:sz w:val="18"/>
              </w:rPr>
              <w:t>Coordination</w:t>
            </w:r>
          </w:p>
        </w:tc>
        <w:tc>
          <w:tcPr>
            <w:tcW w:type="dxa" w:w="3456"/>
          </w:tcPr>
          <w:p>
            <w:r>
              <w:rPr>
                <w:sz w:val="18"/>
              </w:rPr>
              <w:t>Maintained offline</w:t>
            </w:r>
          </w:p>
        </w:tc>
      </w:tr>
    </w:tbl>
    <w:p/>
    <w:p>
      <w:pPr>
        <w:pStyle w:val="Heading1"/>
      </w:pPr>
      <w:r>
        <w:t>6. DR testing</w:t>
      </w:r>
    </w:p>
    <w:tbl>
      <w:tblPr>
        <w:tblStyle w:val="TableGrid"/>
        <w:tblW w:type="auto" w:w="0"/>
        <w:tblLook w:firstColumn="1" w:firstRow="1" w:lastColumn="0" w:lastRow="0" w:noHBand="0" w:noVBand="1" w:val="04A0"/>
      </w:tblPr>
      <w:tblGrid>
        <w:gridCol w:w="2340"/>
        <w:gridCol w:w="2340"/>
        <w:gridCol w:w="2340"/>
        <w:gridCol w:w="2340"/>
      </w:tblGrid>
      <w:tr>
        <w:tc>
          <w:tcPr>
            <w:tcW w:type="dxa" w:w="2736"/>
            <w:shd w:val="clear" w:fill="0F2B4C"/>
          </w:tcPr>
          <w:p>
            <w:r>
              <w:rPr>
                <w:b/>
                <w:color w:val="FFFFFF"/>
                <w:sz w:val="18"/>
              </w:rPr>
              <w:t>Test</w:t>
            </w:r>
          </w:p>
        </w:tc>
        <w:tc>
          <w:tcPr>
            <w:tcW w:type="dxa" w:w="1440"/>
            <w:shd w:val="clear" w:fill="0F2B4C"/>
          </w:tcPr>
          <w:p>
            <w:r>
              <w:rPr>
                <w:b/>
                <w:color w:val="FFFFFF"/>
                <w:sz w:val="18"/>
              </w:rPr>
              <w:t>Frequency</w:t>
            </w:r>
          </w:p>
        </w:tc>
        <w:tc>
          <w:tcPr>
            <w:tcW w:type="dxa" w:w="3168"/>
            <w:shd w:val="clear" w:fill="0F2B4C"/>
          </w:tcPr>
          <w:p>
            <w:r>
              <w:rPr>
                <w:b/>
                <w:color w:val="FFFFFF"/>
                <w:sz w:val="18"/>
              </w:rPr>
              <w:t>Scope</w:t>
            </w:r>
          </w:p>
        </w:tc>
        <w:tc>
          <w:tcPr>
            <w:tcW w:type="dxa" w:w="1584"/>
            <w:shd w:val="clear" w:fill="0F2B4C"/>
          </w:tcPr>
          <w:p>
            <w:r>
              <w:rPr>
                <w:b/>
                <w:color w:val="FFFFFF"/>
                <w:sz w:val="18"/>
              </w:rPr>
              <w:t>Record</w:t>
            </w:r>
          </w:p>
        </w:tc>
      </w:tr>
      <w:tr>
        <w:tc>
          <w:tcPr>
            <w:tcW w:type="dxa" w:w="2736"/>
          </w:tcPr>
          <w:p>
            <w:r>
              <w:rPr>
                <w:sz w:val="18"/>
              </w:rPr>
              <w:t>Database point-in-time restore</w:t>
            </w:r>
          </w:p>
        </w:tc>
        <w:tc>
          <w:tcPr>
            <w:tcW w:type="dxa" w:w="1440"/>
          </w:tcPr>
          <w:p>
            <w:r>
              <w:rPr>
                <w:sz w:val="18"/>
              </w:rPr>
              <w:t>Quarterly</w:t>
            </w:r>
          </w:p>
        </w:tc>
        <w:tc>
          <w:tcPr>
            <w:tcW w:type="dxa" w:w="3168"/>
          </w:tcPr>
          <w:p>
            <w:r>
              <w:rPr>
                <w:sz w:val="18"/>
              </w:rPr>
              <w:t>Restore to scratch; verify integrity</w:t>
            </w:r>
          </w:p>
        </w:tc>
        <w:tc>
          <w:tcPr>
            <w:tcW w:type="dxa" w:w="1584"/>
          </w:tcPr>
          <w:p>
            <w:r>
              <w:rPr>
                <w:sz w:val="18"/>
              </w:rPr>
              <w:t>Backup Test Record</w:t>
            </w:r>
          </w:p>
        </w:tc>
      </w:tr>
      <w:tr>
        <w:tc>
          <w:tcPr>
            <w:tcW w:type="dxa" w:w="2736"/>
          </w:tcPr>
          <w:p>
            <w:r>
              <w:rPr>
                <w:sz w:val="18"/>
              </w:rPr>
              <w:t>Geo-restore to paired region</w:t>
            </w:r>
          </w:p>
        </w:tc>
        <w:tc>
          <w:tcPr>
            <w:tcW w:type="dxa" w:w="1440"/>
          </w:tcPr>
          <w:p>
            <w:r>
              <w:rPr>
                <w:sz w:val="18"/>
              </w:rPr>
              <w:t>Annually</w:t>
            </w:r>
          </w:p>
        </w:tc>
        <w:tc>
          <w:tcPr>
            <w:tcW w:type="dxa" w:w="3168"/>
          </w:tcPr>
          <w:p>
            <w:r>
              <w:rPr>
                <w:sz w:val="18"/>
              </w:rPr>
              <w:t>Full database recovery in the paired region</w:t>
            </w:r>
          </w:p>
        </w:tc>
        <w:tc>
          <w:tcPr>
            <w:tcW w:type="dxa" w:w="1584"/>
          </w:tcPr>
          <w:p>
            <w:r>
              <w:rPr>
                <w:sz w:val="18"/>
              </w:rPr>
              <w:t>DR Test Record</w:t>
            </w:r>
          </w:p>
        </w:tc>
      </w:tr>
      <w:tr>
        <w:tc>
          <w:tcPr>
            <w:tcW w:type="dxa" w:w="2736"/>
          </w:tcPr>
          <w:p>
            <w:r>
              <w:rPr>
                <w:sz w:val="18"/>
              </w:rPr>
              <w:t>Application rebuild from tag</w:t>
            </w:r>
          </w:p>
        </w:tc>
        <w:tc>
          <w:tcPr>
            <w:tcW w:type="dxa" w:w="1440"/>
          </w:tcPr>
          <w:p>
            <w:r>
              <w:rPr>
                <w:sz w:val="18"/>
              </w:rPr>
              <w:t>Annually</w:t>
            </w:r>
          </w:p>
        </w:tc>
        <w:tc>
          <w:tcPr>
            <w:tcW w:type="dxa" w:w="3168"/>
          </w:tcPr>
          <w:p>
            <w:r>
              <w:rPr>
                <w:sz w:val="18"/>
              </w:rPr>
              <w:t>Deploy from source to a clean App Service</w:t>
            </w:r>
          </w:p>
        </w:tc>
        <w:tc>
          <w:tcPr>
            <w:tcW w:type="dxa" w:w="1584"/>
          </w:tcPr>
          <w:p>
            <w:r>
              <w:rPr>
                <w:sz w:val="18"/>
              </w:rPr>
              <w:t>DR Test Record</w:t>
            </w:r>
          </w:p>
        </w:tc>
      </w:tr>
      <w:tr>
        <w:tc>
          <w:tcPr>
            <w:tcW w:type="dxa" w:w="2736"/>
          </w:tcPr>
          <w:p>
            <w:r>
              <w:rPr>
                <w:sz w:val="18"/>
              </w:rPr>
              <w:t>Full tabletop exercise</w:t>
            </w:r>
          </w:p>
        </w:tc>
        <w:tc>
          <w:tcPr>
            <w:tcW w:type="dxa" w:w="1440"/>
          </w:tcPr>
          <w:p>
            <w:r>
              <w:rPr>
                <w:sz w:val="18"/>
              </w:rPr>
              <w:t>Annually</w:t>
            </w:r>
          </w:p>
        </w:tc>
        <w:tc>
          <w:tcPr>
            <w:tcW w:type="dxa" w:w="3168"/>
          </w:tcPr>
          <w:p>
            <w:r>
              <w:rPr>
                <w:sz w:val="18"/>
              </w:rPr>
              <w:t>Regional outage walkthrough</w:t>
            </w:r>
          </w:p>
        </w:tc>
        <w:tc>
          <w:tcPr>
            <w:tcW w:type="dxa" w:w="1584"/>
          </w:tcPr>
          <w:p>
            <w:r>
              <w:rPr>
                <w:sz w:val="18"/>
              </w:rPr>
              <w:t>Exercise minutes</w:t>
            </w:r>
          </w:p>
        </w:tc>
      </w:tr>
    </w:tbl>
    <w:p/>
    <w:p>
      <w:r>
        <w:t>Each test records the achieved recovery time against the objective. Where the achieved time exceeds the objective, either the procedure is improved or the objective is revised to a figure AGT can actually meet. Publishing an RTO that testing has never achieved is worse than publishing a longer, honest one.</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Engineering</w:t>
            </w:r>
          </w:p>
        </w:tc>
        <w:tc>
          <w:tcPr>
            <w:tcW w:type="dxa" w:w="6336"/>
          </w:tcPr>
          <w:p>
            <w:r>
              <w:rPr>
                <w:sz w:val="18"/>
              </w:rPr>
              <w:t>Executes recovery; owns and tests runbooks.</w:t>
            </w:r>
          </w:p>
        </w:tc>
      </w:tr>
      <w:tr>
        <w:tc>
          <w:tcPr>
            <w:tcW w:type="dxa" w:w="2592"/>
          </w:tcPr>
          <w:p>
            <w:r>
              <w:rPr>
                <w:sz w:val="18"/>
              </w:rPr>
              <w:t>Security Officer</w:t>
            </w:r>
          </w:p>
        </w:tc>
        <w:tc>
          <w:tcPr>
            <w:tcW w:type="dxa" w:w="6336"/>
          </w:tcPr>
          <w:p>
            <w:r>
              <w:rPr>
                <w:sz w:val="18"/>
              </w:rPr>
              <w:t>Confirms no compromise before restoration; verifies integrity.</w:t>
            </w:r>
          </w:p>
        </w:tc>
      </w:tr>
      <w:tr>
        <w:tc>
          <w:tcPr>
            <w:tcW w:type="dxa" w:w="2592"/>
          </w:tcPr>
          <w:p>
            <w:r>
              <w:rPr>
                <w:sz w:val="18"/>
              </w:rPr>
              <w:t>CEO</w:t>
            </w:r>
          </w:p>
        </w:tc>
        <w:tc>
          <w:tcPr>
            <w:tcW w:type="dxa" w:w="6336"/>
          </w:tcPr>
          <w:p>
            <w:r>
              <w:rPr>
                <w:sz w:val="18"/>
              </w:rPr>
              <w:t>Declares a disaster; authorizes recovery actions and communications.</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CP-2, CP-4, CP-6, CP-7, CP-10</w:t>
            </w:r>
          </w:p>
        </w:tc>
        <w:tc>
          <w:tcPr>
            <w:tcW w:type="dxa" w:w="4320"/>
          </w:tcPr>
          <w:p>
            <w:r>
              <w:rPr>
                <w:sz w:val="18"/>
              </w:rPr>
              <w:t>Contingency plan, testing, alternate storage and processing sites, reconstitution.</w:t>
            </w:r>
          </w:p>
        </w:tc>
        <w:tc>
          <w:tcPr>
            <w:tcW w:type="dxa" w:w="1152"/>
          </w:tcPr>
          <w:p>
            <w:r>
              <w:rPr>
                <w:sz w:val="18"/>
              </w:rPr>
              <w:t>Met</w:t>
            </w:r>
          </w:p>
        </w:tc>
      </w:tr>
      <w:tr>
        <w:tc>
          <w:tcPr>
            <w:tcW w:type="dxa" w:w="1584"/>
          </w:tcPr>
          <w:p>
            <w:r>
              <w:rPr>
                <w:sz w:val="18"/>
              </w:rPr>
              <w:t>HIPAA</w:t>
            </w:r>
          </w:p>
        </w:tc>
        <w:tc>
          <w:tcPr>
            <w:tcW w:type="dxa" w:w="2160"/>
          </w:tcPr>
          <w:p>
            <w:r>
              <w:rPr>
                <w:sz w:val="18"/>
              </w:rPr>
              <w:t>164.308(a)(7)(ii)(B)</w:t>
            </w:r>
          </w:p>
        </w:tc>
        <w:tc>
          <w:tcPr>
            <w:tcW w:type="dxa" w:w="4320"/>
          </w:tcPr>
          <w:p>
            <w:r>
              <w:rPr>
                <w:sz w:val="18"/>
              </w:rPr>
              <w:t>Disaster recovery plan.</w:t>
            </w:r>
          </w:p>
        </w:tc>
        <w:tc>
          <w:tcPr>
            <w:tcW w:type="dxa" w:w="1152"/>
          </w:tcPr>
          <w:p>
            <w:r>
              <w:rPr>
                <w:sz w:val="18"/>
              </w:rPr>
              <w:t>Met</w:t>
            </w:r>
          </w:p>
        </w:tc>
      </w:tr>
      <w:tr>
        <w:tc>
          <w:tcPr>
            <w:tcW w:type="dxa" w:w="1584"/>
          </w:tcPr>
          <w:p>
            <w:r>
              <w:rPr>
                <w:sz w:val="18"/>
              </w:rPr>
              <w:t>HIPAA</w:t>
            </w:r>
          </w:p>
        </w:tc>
        <w:tc>
          <w:tcPr>
            <w:tcW w:type="dxa" w:w="2160"/>
          </w:tcPr>
          <w:p>
            <w:r>
              <w:rPr>
                <w:sz w:val="18"/>
              </w:rPr>
              <w:t>164.308(a)(7)(ii)(D)</w:t>
            </w:r>
          </w:p>
        </w:tc>
        <w:tc>
          <w:tcPr>
            <w:tcW w:type="dxa" w:w="4320"/>
          </w:tcPr>
          <w:p>
            <w:r>
              <w:rPr>
                <w:sz w:val="18"/>
              </w:rPr>
              <w:t>Testing and revision procedures.</w:t>
            </w:r>
          </w:p>
        </w:tc>
        <w:tc>
          <w:tcPr>
            <w:tcW w:type="dxa" w:w="1152"/>
          </w:tcPr>
          <w:p>
            <w:r>
              <w:rPr>
                <w:sz w:val="18"/>
              </w:rPr>
              <w:t>Met</w:t>
            </w:r>
          </w:p>
        </w:tc>
      </w:tr>
      <w:tr>
        <w:tc>
          <w:tcPr>
            <w:tcW w:type="dxa" w:w="1584"/>
          </w:tcPr>
          <w:p>
            <w:r>
              <w:rPr>
                <w:sz w:val="18"/>
              </w:rPr>
              <w:t>SOC 2</w:t>
            </w:r>
          </w:p>
        </w:tc>
        <w:tc>
          <w:tcPr>
            <w:tcW w:type="dxa" w:w="2160"/>
          </w:tcPr>
          <w:p>
            <w:r>
              <w:rPr>
                <w:sz w:val="18"/>
              </w:rPr>
              <w:t>A1.2, A1.3</w:t>
            </w:r>
          </w:p>
        </w:tc>
        <w:tc>
          <w:tcPr>
            <w:tcW w:type="dxa" w:w="4320"/>
          </w:tcPr>
          <w:p>
            <w:r>
              <w:rPr>
                <w:sz w:val="18"/>
              </w:rPr>
              <w:t>Recovery infrastructure and testing.</w:t>
            </w:r>
          </w:p>
        </w:tc>
        <w:tc>
          <w:tcPr>
            <w:tcW w:type="dxa" w:w="1152"/>
          </w:tcPr>
          <w:p>
            <w:r>
              <w:rPr>
                <w:sz w:val="18"/>
              </w:rPr>
              <w:t>Met</w:t>
            </w:r>
          </w:p>
        </w:tc>
      </w:tr>
      <w:tr>
        <w:tc>
          <w:tcPr>
            <w:tcW w:type="dxa" w:w="1584"/>
          </w:tcPr>
          <w:p>
            <w:r>
              <w:rPr>
                <w:sz w:val="18"/>
              </w:rPr>
              <w:t>ISO 27001</w:t>
            </w:r>
          </w:p>
        </w:tc>
        <w:tc>
          <w:tcPr>
            <w:tcW w:type="dxa" w:w="2160"/>
          </w:tcPr>
          <w:p>
            <w:r>
              <w:rPr>
                <w:sz w:val="18"/>
              </w:rPr>
              <w:t>A.5.29, A.5.30</w:t>
            </w:r>
          </w:p>
        </w:tc>
        <w:tc>
          <w:tcPr>
            <w:tcW w:type="dxa" w:w="4320"/>
          </w:tcPr>
          <w:p>
            <w:r>
              <w:rPr>
                <w:sz w:val="18"/>
              </w:rPr>
              <w:t>ICT readiness for business continuity.</w:t>
            </w:r>
          </w:p>
        </w:tc>
        <w:tc>
          <w:tcPr>
            <w:tcW w:type="dxa" w:w="1152"/>
          </w:tcPr>
          <w:p>
            <w:r>
              <w:rPr>
                <w:sz w:val="18"/>
              </w:rPr>
              <w:t>Met</w:t>
            </w:r>
          </w:p>
        </w:tc>
      </w:tr>
      <w:tr>
        <w:tc>
          <w:tcPr>
            <w:tcW w:type="dxa" w:w="1584"/>
          </w:tcPr>
          <w:p>
            <w:r>
              <w:rPr>
                <w:sz w:val="18"/>
              </w:rPr>
              <w:t>FedRAMP</w:t>
            </w:r>
          </w:p>
        </w:tc>
        <w:tc>
          <w:tcPr>
            <w:tcW w:type="dxa" w:w="2160"/>
          </w:tcPr>
          <w:p>
            <w:r>
              <w:rPr>
                <w:sz w:val="18"/>
              </w:rPr>
              <w:t>CP-4(1), CP-7</w:t>
            </w:r>
          </w:p>
        </w:tc>
        <w:tc>
          <w:tcPr>
            <w:tcW w:type="dxa" w:w="4320"/>
          </w:tcPr>
          <w:p>
            <w:r>
              <w:rPr>
                <w:sz w:val="18"/>
              </w:rPr>
              <w:t>Coordinated testing and alternate processing capability.</w:t>
            </w:r>
          </w:p>
        </w:tc>
        <w:tc>
          <w:tcPr>
            <w:tcW w:type="dxa" w:w="1152"/>
          </w:tcPr>
          <w:p>
            <w:r>
              <w:rPr>
                <w:sz w:val="18"/>
              </w:rPr>
              <w:t>Partial - alternate site is procedural, not pre-provisioned.</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AGT-BCP-020</w:t>
            </w:r>
          </w:p>
        </w:tc>
        <w:tc>
          <w:tcPr>
            <w:tcW w:type="dxa" w:w="4176"/>
          </w:tcPr>
          <w:p>
            <w:r>
              <w:rPr>
                <w:sz w:val="18"/>
              </w:rPr>
              <w:t>Business Continuity Policy</w:t>
            </w:r>
          </w:p>
        </w:tc>
        <w:tc>
          <w:tcPr>
            <w:tcW w:type="dxa" w:w="3168"/>
          </w:tcPr>
          <w:p>
            <w:r>
              <w:rPr>
                <w:sz w:val="18"/>
              </w:rPr>
              <w:t>Business objectives driving RTO and RPO</w:t>
            </w:r>
          </w:p>
        </w:tc>
      </w:tr>
      <w:tr>
        <w:tc>
          <w:tcPr>
            <w:tcW w:type="dxa" w:w="1872"/>
          </w:tcPr>
          <w:p>
            <w:r>
              <w:rPr>
                <w:sz w:val="18"/>
              </w:rPr>
              <w:t>AGT-BKP-019</w:t>
            </w:r>
          </w:p>
        </w:tc>
        <w:tc>
          <w:tcPr>
            <w:tcW w:type="dxa" w:w="4176"/>
          </w:tcPr>
          <w:p>
            <w:r>
              <w:rPr>
                <w:sz w:val="18"/>
              </w:rPr>
              <w:t>Backup Policy</w:t>
            </w:r>
          </w:p>
        </w:tc>
        <w:tc>
          <w:tcPr>
            <w:tcW w:type="dxa" w:w="3168"/>
          </w:tcPr>
          <w:p>
            <w:r>
              <w:rPr>
                <w:sz w:val="18"/>
              </w:rPr>
              <w:t>Recovery sources and test schedule</w:t>
            </w:r>
          </w:p>
        </w:tc>
      </w:tr>
      <w:tr>
        <w:tc>
          <w:tcPr>
            <w:tcW w:type="dxa" w:w="1872"/>
          </w:tcPr>
          <w:p>
            <w:r>
              <w:rPr>
                <w:sz w:val="18"/>
              </w:rPr>
              <w:t>AGT-IRP-022</w:t>
            </w:r>
          </w:p>
        </w:tc>
        <w:tc>
          <w:tcPr>
            <w:tcW w:type="dxa" w:w="4176"/>
          </w:tcPr>
          <w:p>
            <w:r>
              <w:rPr>
                <w:sz w:val="18"/>
              </w:rPr>
              <w:t>Incident Response Plan</w:t>
            </w:r>
          </w:p>
        </w:tc>
        <w:tc>
          <w:tcPr>
            <w:tcW w:type="dxa" w:w="3168"/>
          </w:tcPr>
          <w:p>
            <w:r>
              <w:rPr>
                <w:sz w:val="18"/>
              </w:rPr>
              <w:t>Precedes recovery when compromise is suspected</w:t>
            </w:r>
          </w:p>
        </w:tc>
      </w:tr>
      <w:tr>
        <w:tc>
          <w:tcPr>
            <w:tcW w:type="dxa" w:w="1872"/>
          </w:tcPr>
          <w:p>
            <w:r>
              <w:rPr>
                <w:sz w:val="18"/>
              </w:rPr>
              <w:t>AGT-CfMP-016</w:t>
            </w:r>
          </w:p>
        </w:tc>
        <w:tc>
          <w:tcPr>
            <w:tcW w:type="dxa" w:w="4176"/>
          </w:tcPr>
          <w:p>
            <w:r>
              <w:rPr>
                <w:sz w:val="18"/>
              </w:rPr>
              <w:t>Configuration Management Policy</w:t>
            </w:r>
          </w:p>
        </w:tc>
        <w:tc>
          <w:tcPr>
            <w:tcW w:type="dxa" w:w="3168"/>
          </w:tcPr>
          <w:p>
            <w:r>
              <w:rPr>
                <w:sz w:val="18"/>
              </w:rPr>
              <w:t>Baselines to restore to</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AGT-DRP-021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