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Identity and Access Management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AGT-IAM-004</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establishes how identities are created, authenticated, authorized, reviewed, and removed across the DocuAction TEFCA ARC platform. Identity is the primary security boundary in a cloud system with no network perimeter: every control in this document exists because an attacker who holds a valid identity is indistinguishable from a user unless the identity itself is constrained.</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2"/>
      </w:pPr>
      <w:r>
        <w:t>Definitions</w:t>
      </w:r>
    </w:p>
    <w:tbl>
      <w:tblPr>
        <w:tblStyle w:val="TableGrid"/>
        <w:tblW w:type="auto" w:w="0"/>
        <w:tblLook w:firstColumn="1" w:firstRow="1" w:lastColumn="0" w:lastRow="0" w:noHBand="0" w:noVBand="1" w:val="04A0"/>
      </w:tblPr>
      <w:tblGrid>
        <w:gridCol w:w="4680"/>
        <w:gridCol w:w="4680"/>
      </w:tblGrid>
      <w:tr>
        <w:tc>
          <w:tcPr>
            <w:tcW w:type="dxa" w:w="2160"/>
            <w:shd w:val="clear" w:fill="0F2B4C"/>
          </w:tcPr>
          <w:p>
            <w:r>
              <w:rPr>
                <w:b/>
                <w:color w:val="FFFFFF"/>
                <w:sz w:val="18"/>
              </w:rPr>
              <w:t>Term</w:t>
            </w:r>
          </w:p>
        </w:tc>
        <w:tc>
          <w:tcPr>
            <w:tcW w:type="dxa" w:w="6768"/>
            <w:shd w:val="clear" w:fill="0F2B4C"/>
          </w:tcPr>
          <w:p>
            <w:r>
              <w:rPr>
                <w:b/>
                <w:color w:val="FFFFFF"/>
                <w:sz w:val="18"/>
              </w:rPr>
              <w:t>Definition</w:t>
            </w:r>
          </w:p>
        </w:tc>
      </w:tr>
      <w:tr>
        <w:tc>
          <w:tcPr>
            <w:tcW w:type="dxa" w:w="2160"/>
          </w:tcPr>
          <w:p>
            <w:r>
              <w:rPr>
                <w:sz w:val="18"/>
              </w:rPr>
              <w:t>Identity</w:t>
            </w:r>
          </w:p>
        </w:tc>
        <w:tc>
          <w:tcPr>
            <w:tcW w:type="dxa" w:w="6768"/>
          </w:tcPr>
          <w:p>
            <w:r>
              <w:rPr>
                <w:sz w:val="18"/>
              </w:rPr>
              <w:t>A unique digital representation of a person, service, or workload.</w:t>
            </w:r>
          </w:p>
        </w:tc>
      </w:tr>
      <w:tr>
        <w:tc>
          <w:tcPr>
            <w:tcW w:type="dxa" w:w="2160"/>
          </w:tcPr>
          <w:p>
            <w:r>
              <w:rPr>
                <w:sz w:val="18"/>
              </w:rPr>
              <w:t>Principal</w:t>
            </w:r>
          </w:p>
        </w:tc>
        <w:tc>
          <w:tcPr>
            <w:tcW w:type="dxa" w:w="6768"/>
          </w:tcPr>
          <w:p>
            <w:r>
              <w:rPr>
                <w:sz w:val="18"/>
              </w:rPr>
              <w:t>An identity as presented to an authorization decision.</w:t>
            </w:r>
          </w:p>
        </w:tc>
      </w:tr>
      <w:tr>
        <w:tc>
          <w:tcPr>
            <w:tcW w:type="dxa" w:w="2160"/>
          </w:tcPr>
          <w:p>
            <w:r>
              <w:rPr>
                <w:sz w:val="18"/>
              </w:rPr>
              <w:t>Entra ID</w:t>
            </w:r>
          </w:p>
        </w:tc>
        <w:tc>
          <w:tcPr>
            <w:tcW w:type="dxa" w:w="6768"/>
          </w:tcPr>
          <w:p>
            <w:r>
              <w:rPr>
                <w:sz w:val="18"/>
              </w:rPr>
              <w:t>Microsoft Entra ID, AGT's authoritative identity provider.</w:t>
            </w:r>
          </w:p>
        </w:tc>
      </w:tr>
      <w:tr>
        <w:tc>
          <w:tcPr>
            <w:tcW w:type="dxa" w:w="2160"/>
          </w:tcPr>
          <w:p>
            <w:r>
              <w:rPr>
                <w:sz w:val="18"/>
              </w:rPr>
              <w:t>Managed identity</w:t>
            </w:r>
          </w:p>
        </w:tc>
        <w:tc>
          <w:tcPr>
            <w:tcW w:type="dxa" w:w="6768"/>
          </w:tcPr>
          <w:p>
            <w:r>
              <w:rPr>
                <w:sz w:val="18"/>
              </w:rPr>
              <w:t>An Azure-issued service identity with no stored credential.</w:t>
            </w:r>
          </w:p>
        </w:tc>
      </w:tr>
      <w:tr>
        <w:tc>
          <w:tcPr>
            <w:tcW w:type="dxa" w:w="2160"/>
          </w:tcPr>
          <w:p>
            <w:r>
              <w:rPr>
                <w:sz w:val="18"/>
              </w:rPr>
              <w:t>JWT</w:t>
            </w:r>
          </w:p>
        </w:tc>
        <w:tc>
          <w:tcPr>
            <w:tcW w:type="dxa" w:w="6768"/>
          </w:tcPr>
          <w:p>
            <w:r>
              <w:rPr>
                <w:sz w:val="18"/>
              </w:rPr>
              <w:t>JSON Web Token; the bearer credential issued after authentication.</w:t>
            </w:r>
          </w:p>
        </w:tc>
      </w:tr>
      <w:tr>
        <w:tc>
          <w:tcPr>
            <w:tcW w:type="dxa" w:w="2160"/>
          </w:tcPr>
          <w:p>
            <w:r>
              <w:rPr>
                <w:sz w:val="18"/>
              </w:rPr>
              <w:t>RBAC</w:t>
            </w:r>
          </w:p>
        </w:tc>
        <w:tc>
          <w:tcPr>
            <w:tcW w:type="dxa" w:w="6768"/>
          </w:tcPr>
          <w:p>
            <w:r>
              <w:rPr>
                <w:sz w:val="18"/>
              </w:rPr>
              <w:t>Role-based access control; authorization by assigned role.</w:t>
            </w:r>
          </w:p>
        </w:tc>
      </w:tr>
      <w:tr>
        <w:tc>
          <w:tcPr>
            <w:tcW w:type="dxa" w:w="2160"/>
          </w:tcPr>
          <w:p>
            <w:r>
              <w:rPr>
                <w:sz w:val="18"/>
              </w:rPr>
              <w:t>PIM</w:t>
            </w:r>
          </w:p>
        </w:tc>
        <w:tc>
          <w:tcPr>
            <w:tcW w:type="dxa" w:w="6768"/>
          </w:tcPr>
          <w:p>
            <w:r>
              <w:rPr>
                <w:sz w:val="18"/>
              </w:rPr>
              <w:t>Privileged Identity Management; time-bound elevation of privilege.</w:t>
            </w:r>
          </w:p>
        </w:tc>
      </w:tr>
      <w:tr>
        <w:tc>
          <w:tcPr>
            <w:tcW w:type="dxa" w:w="2160"/>
          </w:tcPr>
          <w:p>
            <w:r>
              <w:rPr>
                <w:sz w:val="18"/>
              </w:rPr>
              <w:t>Service account</w:t>
            </w:r>
          </w:p>
        </w:tc>
        <w:tc>
          <w:tcPr>
            <w:tcW w:type="dxa" w:w="6768"/>
          </w:tcPr>
          <w:p>
            <w:r>
              <w:rPr>
                <w:sz w:val="18"/>
              </w:rPr>
              <w:t>A non-human identity used by an application or job.</w:t>
            </w:r>
          </w:p>
        </w:tc>
      </w:tr>
    </w:tbl>
    <w:p/>
    <w:p>
      <w:pPr>
        <w:pStyle w:val="Heading1"/>
      </w:pPr>
      <w:r>
        <w:t>3. Identity sources and federation</w:t>
      </w:r>
    </w:p>
    <w:p>
      <w:r>
        <w:t>Entra ID is the authoritative identity provider for AGT personnel. The platform additionally supports local email/password authentication for external users who are not members of the AGT tenant. Both paths issue the same application JWT, which means authorization decisions downstream are identical regardless of how the user authenticated.</w:t>
      </w:r>
    </w:p>
    <w:p>
      <w:r>
        <w:t>This is a deliberate design decision with a consequence worth stating plainly: because both paths converge on one token format, a weakness in the local password path is not contained to local users - it yields the same token an Entra-federated user would hold. Local authentication therefore carries the same password, lockout, and session controls as the federated path, not a reduced set.</w:t>
      </w: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fill="0F2B4C"/>
          </w:tcPr>
          <w:p>
            <w:r>
              <w:rPr>
                <w:b/>
                <w:color w:val="FFFFFF"/>
                <w:sz w:val="18"/>
              </w:rPr>
              <w:t>Path</w:t>
            </w:r>
          </w:p>
        </w:tc>
        <w:tc>
          <w:tcPr>
            <w:tcW w:type="dxa" w:w="2880"/>
            <w:shd w:val="clear" w:fill="0F2B4C"/>
          </w:tcPr>
          <w:p>
            <w:r>
              <w:rPr>
                <w:b/>
                <w:color w:val="FFFFFF"/>
                <w:sz w:val="18"/>
              </w:rPr>
              <w:t>Protocol</w:t>
            </w:r>
          </w:p>
        </w:tc>
        <w:tc>
          <w:tcPr>
            <w:tcW w:type="dxa" w:w="2448"/>
            <w:shd w:val="clear" w:fill="0F2B4C"/>
          </w:tcPr>
          <w:p>
            <w:r>
              <w:rPr>
                <w:b/>
                <w:color w:val="FFFFFF"/>
                <w:sz w:val="18"/>
              </w:rPr>
              <w:t>Credential</w:t>
            </w:r>
          </w:p>
        </w:tc>
        <w:tc>
          <w:tcPr>
            <w:tcW w:type="dxa" w:w="1872"/>
            <w:shd w:val="clear" w:fill="0F2B4C"/>
          </w:tcPr>
          <w:p>
            <w:r>
              <w:rPr>
                <w:b/>
                <w:color w:val="FFFFFF"/>
                <w:sz w:val="18"/>
              </w:rPr>
              <w:t>Applies to</w:t>
            </w:r>
          </w:p>
        </w:tc>
      </w:tr>
      <w:tr>
        <w:tc>
          <w:tcPr>
            <w:tcW w:type="dxa" w:w="2016"/>
          </w:tcPr>
          <w:p>
            <w:r>
              <w:rPr>
                <w:sz w:val="18"/>
              </w:rPr>
              <w:t>Entra ID SSO</w:t>
            </w:r>
          </w:p>
        </w:tc>
        <w:tc>
          <w:tcPr>
            <w:tcW w:type="dxa" w:w="2880"/>
          </w:tcPr>
          <w:p>
            <w:r>
              <w:rPr>
                <w:sz w:val="18"/>
              </w:rPr>
              <w:t>OAuth 2.0 / OIDC authorization code + PKCE</w:t>
            </w:r>
          </w:p>
        </w:tc>
        <w:tc>
          <w:tcPr>
            <w:tcW w:type="dxa" w:w="2448"/>
          </w:tcPr>
          <w:p>
            <w:r>
              <w:rPr>
                <w:sz w:val="18"/>
              </w:rPr>
              <w:t>Entra ID account, MFA enforced</w:t>
            </w:r>
          </w:p>
        </w:tc>
        <w:tc>
          <w:tcPr>
            <w:tcW w:type="dxa" w:w="1872"/>
          </w:tcPr>
          <w:p>
            <w:r>
              <w:rPr>
                <w:sz w:val="18"/>
              </w:rPr>
              <w:t>AGT personnel</w:t>
            </w:r>
          </w:p>
        </w:tc>
      </w:tr>
      <w:tr>
        <w:tc>
          <w:tcPr>
            <w:tcW w:type="dxa" w:w="2016"/>
          </w:tcPr>
          <w:p>
            <w:r>
              <w:rPr>
                <w:sz w:val="18"/>
              </w:rPr>
              <w:t>Local authentication</w:t>
            </w:r>
          </w:p>
        </w:tc>
        <w:tc>
          <w:tcPr>
            <w:tcW w:type="dxa" w:w="2880"/>
          </w:tcPr>
          <w:p>
            <w:r>
              <w:rPr>
                <w:sz w:val="18"/>
              </w:rPr>
              <w:t>Password grant over TLS</w:t>
            </w:r>
          </w:p>
        </w:tc>
        <w:tc>
          <w:tcPr>
            <w:tcW w:type="dxa" w:w="2448"/>
          </w:tcPr>
          <w:p>
            <w:r>
              <w:rPr>
                <w:sz w:val="18"/>
              </w:rPr>
              <w:t>bcrypt-hashed password</w:t>
            </w:r>
          </w:p>
        </w:tc>
        <w:tc>
          <w:tcPr>
            <w:tcW w:type="dxa" w:w="1872"/>
          </w:tcPr>
          <w:p>
            <w:r>
              <w:rPr>
                <w:sz w:val="18"/>
              </w:rPr>
              <w:t>External and partner users</w:t>
            </w:r>
          </w:p>
        </w:tc>
      </w:tr>
      <w:tr>
        <w:tc>
          <w:tcPr>
            <w:tcW w:type="dxa" w:w="2016"/>
          </w:tcPr>
          <w:p>
            <w:r>
              <w:rPr>
                <w:sz w:val="18"/>
              </w:rPr>
              <w:t>Service-to-service</w:t>
            </w:r>
          </w:p>
        </w:tc>
        <w:tc>
          <w:tcPr>
            <w:tcW w:type="dxa" w:w="2880"/>
          </w:tcPr>
          <w:p>
            <w:r>
              <w:rPr>
                <w:sz w:val="18"/>
              </w:rPr>
              <w:t>Azure managed identity</w:t>
            </w:r>
          </w:p>
        </w:tc>
        <w:tc>
          <w:tcPr>
            <w:tcW w:type="dxa" w:w="2448"/>
          </w:tcPr>
          <w:p>
            <w:r>
              <w:rPr>
                <w:sz w:val="18"/>
              </w:rPr>
              <w:t>Platform-issued, no stored secret</w:t>
            </w:r>
          </w:p>
        </w:tc>
        <w:tc>
          <w:tcPr>
            <w:tcW w:type="dxa" w:w="1872"/>
          </w:tcPr>
          <w:p>
            <w:r>
              <w:rPr>
                <w:sz w:val="18"/>
              </w:rPr>
              <w:t>App Service to Key Vault</w:t>
            </w:r>
          </w:p>
        </w:tc>
      </w:tr>
    </w:tbl>
    <w:p/>
    <w:p>
      <w:pPr>
        <w:pStyle w:val="Heading1"/>
      </w:pPr>
      <w:r>
        <w:t>4. Authentication requirements</w:t>
      </w:r>
    </w:p>
    <w:p>
      <w:pPr>
        <w:pStyle w:val="Heading2"/>
      </w:pPr>
      <w:r>
        <w:t>4.1 Multi-factor authentication</w:t>
      </w:r>
    </w:p>
    <w:p>
      <w:pPr>
        <w:pStyle w:val="ListBullet"/>
      </w:pPr>
      <w:r>
        <w:t>MFA is required for all AGT personnel accounts without exception, enforced by Entra ID Conditional Access rather than by application logic.</w:t>
      </w:r>
    </w:p>
    <w:p>
      <w:pPr>
        <w:pStyle w:val="ListBullet"/>
      </w:pPr>
      <w:r>
        <w:t>MFA is required for all administrative access to the Azure portal, Azure CLI, and the platform's admin endpoints.</w:t>
      </w:r>
    </w:p>
    <w:p>
      <w:pPr>
        <w:pStyle w:val="ListBullet"/>
      </w:pPr>
      <w:r>
        <w:t>Approved factors: Microsoft Authenticator (number matching), FIDO2 security key, or Windows Hello for Business.</w:t>
      </w:r>
    </w:p>
    <w:p>
      <w:pPr>
        <w:pStyle w:val="ListBullet"/>
      </w:pPr>
      <w:r>
        <w:t>SMS and voice call are not approved factors for administrative accounts. They are vulnerable to SIM-swap and interception, and an administrative account is exactly the target for which that attack is worth mounting.</w:t>
      </w:r>
    </w:p>
    <w:p>
      <w:pPr>
        <w:pStyle w:val="Heading2"/>
      </w:pPr>
      <w:r>
        <w:t>4.2 Password requirements (local authentication path)</w:t>
      </w:r>
    </w:p>
    <w:tbl>
      <w:tblPr>
        <w:tblStyle w:val="TableGrid"/>
        <w:tblW w:type="auto" w:w="0"/>
        <w:tblLook w:firstColumn="1" w:firstRow="1" w:lastColumn="0" w:lastRow="0" w:noHBand="0" w:noVBand="1" w:val="04A0"/>
      </w:tblPr>
      <w:tblGrid>
        <w:gridCol w:w="3120"/>
        <w:gridCol w:w="3120"/>
        <w:gridCol w:w="3120"/>
      </w:tblGrid>
      <w:tr>
        <w:tc>
          <w:tcPr>
            <w:tcW w:type="dxa" w:w="2160"/>
            <w:shd w:val="clear" w:fill="0F2B4C"/>
          </w:tcPr>
          <w:p>
            <w:r>
              <w:rPr>
                <w:b/>
                <w:color w:val="FFFFFF"/>
                <w:sz w:val="18"/>
              </w:rPr>
              <w:t>Requirement</w:t>
            </w:r>
          </w:p>
        </w:tc>
        <w:tc>
          <w:tcPr>
            <w:tcW w:type="dxa" w:w="2304"/>
            <w:shd w:val="clear" w:fill="0F2B4C"/>
          </w:tcPr>
          <w:p>
            <w:r>
              <w:rPr>
                <w:b/>
                <w:color w:val="FFFFFF"/>
                <w:sz w:val="18"/>
              </w:rPr>
              <w:t>Setting</w:t>
            </w:r>
          </w:p>
        </w:tc>
        <w:tc>
          <w:tcPr>
            <w:tcW w:type="dxa" w:w="4464"/>
            <w:shd w:val="clear" w:fill="0F2B4C"/>
          </w:tcPr>
          <w:p>
            <w:r>
              <w:rPr>
                <w:b/>
                <w:color w:val="FFFFFF"/>
                <w:sz w:val="18"/>
              </w:rPr>
              <w:t>Rationale</w:t>
            </w:r>
          </w:p>
        </w:tc>
      </w:tr>
      <w:tr>
        <w:tc>
          <w:tcPr>
            <w:tcW w:type="dxa" w:w="2160"/>
          </w:tcPr>
          <w:p>
            <w:r>
              <w:rPr>
                <w:sz w:val="18"/>
              </w:rPr>
              <w:t>Minimum length</w:t>
            </w:r>
          </w:p>
        </w:tc>
        <w:tc>
          <w:tcPr>
            <w:tcW w:type="dxa" w:w="2304"/>
          </w:tcPr>
          <w:p>
            <w:r>
              <w:rPr>
                <w:sz w:val="18"/>
              </w:rPr>
              <w:t>12 characters</w:t>
            </w:r>
          </w:p>
        </w:tc>
        <w:tc>
          <w:tcPr>
            <w:tcW w:type="dxa" w:w="4464"/>
          </w:tcPr>
          <w:p>
            <w:r>
              <w:rPr>
                <w:sz w:val="18"/>
              </w:rPr>
              <w:t>Length dominates composition for offline resistance.</w:t>
            </w:r>
          </w:p>
        </w:tc>
      </w:tr>
      <w:tr>
        <w:tc>
          <w:tcPr>
            <w:tcW w:type="dxa" w:w="2160"/>
          </w:tcPr>
          <w:p>
            <w:r>
              <w:rPr>
                <w:sz w:val="18"/>
              </w:rPr>
              <w:t>Composition rules</w:t>
            </w:r>
          </w:p>
        </w:tc>
        <w:tc>
          <w:tcPr>
            <w:tcW w:type="dxa" w:w="2304"/>
          </w:tcPr>
          <w:p>
            <w:r>
              <w:rPr>
                <w:sz w:val="18"/>
              </w:rPr>
              <w:t>None mandated</w:t>
            </w:r>
          </w:p>
        </w:tc>
        <w:tc>
          <w:tcPr>
            <w:tcW w:type="dxa" w:w="4464"/>
          </w:tcPr>
          <w:p>
            <w:r>
              <w:rPr>
                <w:sz w:val="18"/>
              </w:rPr>
              <w:t>Enforced complexity drives predictable substitutions.</w:t>
            </w:r>
          </w:p>
        </w:tc>
      </w:tr>
      <w:tr>
        <w:tc>
          <w:tcPr>
            <w:tcW w:type="dxa" w:w="2160"/>
          </w:tcPr>
          <w:p>
            <w:r>
              <w:rPr>
                <w:sz w:val="18"/>
              </w:rPr>
              <w:t>Breached-password check</w:t>
            </w:r>
          </w:p>
        </w:tc>
        <w:tc>
          <w:tcPr>
            <w:tcW w:type="dxa" w:w="2304"/>
          </w:tcPr>
          <w:p>
            <w:r>
              <w:rPr>
                <w:sz w:val="18"/>
              </w:rPr>
              <w:t>Required</w:t>
            </w:r>
          </w:p>
        </w:tc>
        <w:tc>
          <w:tcPr>
            <w:tcW w:type="dxa" w:w="4464"/>
          </w:tcPr>
          <w:p>
            <w:r>
              <w:rPr>
                <w:sz w:val="18"/>
              </w:rPr>
              <w:t>Rejects credentials already public.</w:t>
            </w:r>
          </w:p>
        </w:tc>
      </w:tr>
      <w:tr>
        <w:tc>
          <w:tcPr>
            <w:tcW w:type="dxa" w:w="2160"/>
          </w:tcPr>
          <w:p>
            <w:r>
              <w:rPr>
                <w:sz w:val="18"/>
              </w:rPr>
              <w:t>Storage</w:t>
            </w:r>
          </w:p>
        </w:tc>
        <w:tc>
          <w:tcPr>
            <w:tcW w:type="dxa" w:w="2304"/>
          </w:tcPr>
          <w:p>
            <w:r>
              <w:rPr>
                <w:sz w:val="18"/>
              </w:rPr>
              <w:t>bcrypt, cost factor 12</w:t>
            </w:r>
          </w:p>
        </w:tc>
        <w:tc>
          <w:tcPr>
            <w:tcW w:type="dxa" w:w="4464"/>
          </w:tcPr>
          <w:p>
            <w:r>
              <w:rPr>
                <w:sz w:val="18"/>
              </w:rPr>
              <w:t>Deliberately slow; resists offline cracking.</w:t>
            </w:r>
          </w:p>
        </w:tc>
      </w:tr>
      <w:tr>
        <w:tc>
          <w:tcPr>
            <w:tcW w:type="dxa" w:w="2160"/>
          </w:tcPr>
          <w:p>
            <w:r>
              <w:rPr>
                <w:sz w:val="18"/>
              </w:rPr>
              <w:t>Rotation</w:t>
            </w:r>
          </w:p>
        </w:tc>
        <w:tc>
          <w:tcPr>
            <w:tcW w:type="dxa" w:w="2304"/>
          </w:tcPr>
          <w:p>
            <w:r>
              <w:rPr>
                <w:sz w:val="18"/>
              </w:rPr>
              <w:t>On suspicion of compromise only</w:t>
            </w:r>
          </w:p>
        </w:tc>
        <w:tc>
          <w:tcPr>
            <w:tcW w:type="dxa" w:w="4464"/>
          </w:tcPr>
          <w:p>
            <w:r>
              <w:rPr>
                <w:sz w:val="18"/>
              </w:rPr>
              <w:t>Scheduled rotation degrades password quality.</w:t>
            </w:r>
          </w:p>
        </w:tc>
      </w:tr>
      <w:tr>
        <w:tc>
          <w:tcPr>
            <w:tcW w:type="dxa" w:w="2160"/>
          </w:tcPr>
          <w:p>
            <w:r>
              <w:rPr>
                <w:sz w:val="18"/>
              </w:rPr>
              <w:t>Lockout</w:t>
            </w:r>
          </w:p>
        </w:tc>
        <w:tc>
          <w:tcPr>
            <w:tcW w:type="dxa" w:w="2304"/>
          </w:tcPr>
          <w:p>
            <w:r>
              <w:rPr>
                <w:sz w:val="18"/>
              </w:rPr>
              <w:t>Progressive delay after 5 failures</w:t>
            </w:r>
          </w:p>
        </w:tc>
        <w:tc>
          <w:tcPr>
            <w:tcW w:type="dxa" w:w="4464"/>
          </w:tcPr>
          <w:p>
            <w:r>
              <w:rPr>
                <w:sz w:val="18"/>
              </w:rPr>
              <w:t>Blunts credential stuffing without a lockout DoS.</w:t>
            </w:r>
          </w:p>
        </w:tc>
      </w:tr>
    </w:tbl>
    <w:p/>
    <w:p>
      <w:r>
        <w:rPr>
          <w:i/>
          <w:color w:val="5A5A5A"/>
          <w:sz w:val="19"/>
        </w:rPr>
        <w:t>Scheduled password expiry is deliberately not required. NIST SP 800-63B withdrew that recommendation because forced rotation produces weaker, more predictable passwords and users who write them down.</w:t>
      </w:r>
    </w:p>
    <w:p>
      <w:pPr>
        <w:pStyle w:val="Heading1"/>
      </w:pPr>
      <w:r>
        <w:t>5. Token and session lifecycle</w:t>
      </w:r>
    </w:p>
    <w:p>
      <w:r>
        <w:t>The platform issues a signed JWT on successful authentication. Token handling is where most identity systems fail in practice, so the lifecycle is specified rather than left to implementation.</w:t>
      </w:r>
    </w:p>
    <w:tbl>
      <w:tblPr>
        <w:tblStyle w:val="TableGrid"/>
        <w:tblW w:type="auto" w:w="0"/>
        <w:tblLook w:firstColumn="1" w:firstRow="1" w:lastColumn="0" w:lastRow="0" w:noHBand="0" w:noVBand="1" w:val="04A0"/>
      </w:tblPr>
      <w:tblGrid>
        <w:gridCol w:w="4680"/>
        <w:gridCol w:w="4680"/>
      </w:tblGrid>
      <w:tr>
        <w:tc>
          <w:tcPr>
            <w:tcW w:type="dxa" w:w="2160"/>
            <w:shd w:val="clear" w:fill="0F2B4C"/>
          </w:tcPr>
          <w:p>
            <w:r>
              <w:rPr>
                <w:b/>
                <w:color w:val="FFFFFF"/>
                <w:sz w:val="18"/>
              </w:rPr>
              <w:t>Property</w:t>
            </w:r>
          </w:p>
        </w:tc>
        <w:tc>
          <w:tcPr>
            <w:tcW w:type="dxa" w:w="6768"/>
            <w:shd w:val="clear" w:fill="0F2B4C"/>
          </w:tcPr>
          <w:p>
            <w:r>
              <w:rPr>
                <w:b/>
                <w:color w:val="FFFFFF"/>
                <w:sz w:val="18"/>
              </w:rPr>
              <w:t>Control</w:t>
            </w:r>
          </w:p>
        </w:tc>
      </w:tr>
      <w:tr>
        <w:tc>
          <w:tcPr>
            <w:tcW w:type="dxa" w:w="2160"/>
          </w:tcPr>
          <w:p>
            <w:r>
              <w:rPr>
                <w:sz w:val="18"/>
              </w:rPr>
              <w:t>Signing</w:t>
            </w:r>
          </w:p>
        </w:tc>
        <w:tc>
          <w:tcPr>
            <w:tcW w:type="dxa" w:w="6768"/>
          </w:tcPr>
          <w:p>
            <w:r>
              <w:rPr>
                <w:sz w:val="18"/>
              </w:rPr>
              <w:t>HMAC using a secret of at least 64 characters, held in Azure Key Vault</w:t>
            </w:r>
          </w:p>
        </w:tc>
      </w:tr>
      <w:tr>
        <w:tc>
          <w:tcPr>
            <w:tcW w:type="dxa" w:w="2160"/>
          </w:tcPr>
          <w:p>
            <w:r>
              <w:rPr>
                <w:sz w:val="18"/>
              </w:rPr>
              <w:t>Lifetime</w:t>
            </w:r>
          </w:p>
        </w:tc>
        <w:tc>
          <w:tcPr>
            <w:tcW w:type="dxa" w:w="6768"/>
          </w:tcPr>
          <w:p>
            <w:r>
              <w:rPr>
                <w:sz w:val="18"/>
              </w:rPr>
              <w:t>Short-lived access token; re-authentication required on expiry</w:t>
            </w:r>
          </w:p>
        </w:tc>
      </w:tr>
      <w:tr>
        <w:tc>
          <w:tcPr>
            <w:tcW w:type="dxa" w:w="2160"/>
          </w:tcPr>
          <w:p>
            <w:r>
              <w:rPr>
                <w:sz w:val="18"/>
              </w:rPr>
              <w:t>Transport</w:t>
            </w:r>
          </w:p>
        </w:tc>
        <w:tc>
          <w:tcPr>
            <w:tcW w:type="dxa" w:w="6768"/>
          </w:tcPr>
          <w:p>
            <w:r>
              <w:rPr>
                <w:sz w:val="18"/>
              </w:rPr>
              <w:t>TLS 1.2 or higher only; tokens are never placed in a URL or query string</w:t>
            </w:r>
          </w:p>
        </w:tc>
      </w:tr>
      <w:tr>
        <w:tc>
          <w:tcPr>
            <w:tcW w:type="dxa" w:w="2160"/>
          </w:tcPr>
          <w:p>
            <w:r>
              <w:rPr>
                <w:sz w:val="18"/>
              </w:rPr>
              <w:t>Storage</w:t>
            </w:r>
          </w:p>
        </w:tc>
        <w:tc>
          <w:tcPr>
            <w:tcW w:type="dxa" w:w="6768"/>
          </w:tcPr>
          <w:p>
            <w:r>
              <w:rPr>
                <w:sz w:val="18"/>
              </w:rPr>
              <w:t>Browser storage scoped to the application origin; never a cookie without SameSite</w:t>
            </w:r>
          </w:p>
        </w:tc>
      </w:tr>
      <w:tr>
        <w:tc>
          <w:tcPr>
            <w:tcW w:type="dxa" w:w="2160"/>
          </w:tcPr>
          <w:p>
            <w:r>
              <w:rPr>
                <w:sz w:val="18"/>
              </w:rPr>
              <w:t>Revocation</w:t>
            </w:r>
          </w:p>
        </w:tc>
        <w:tc>
          <w:tcPr>
            <w:tcW w:type="dxa" w:w="6768"/>
          </w:tcPr>
          <w:p>
            <w:r>
              <w:rPr>
                <w:sz w:val="18"/>
              </w:rPr>
              <w:t>Server-side session revocation invalidates tokens before their natural expiry</w:t>
            </w:r>
          </w:p>
        </w:tc>
      </w:tr>
      <w:tr>
        <w:tc>
          <w:tcPr>
            <w:tcW w:type="dxa" w:w="2160"/>
          </w:tcPr>
          <w:p>
            <w:r>
              <w:rPr>
                <w:sz w:val="18"/>
              </w:rPr>
              <w:t>Claims</w:t>
            </w:r>
          </w:p>
        </w:tc>
        <w:tc>
          <w:tcPr>
            <w:tcW w:type="dxa" w:w="6768"/>
          </w:tcPr>
          <w:p>
            <w:r>
              <w:rPr>
                <w:sz w:val="18"/>
              </w:rPr>
              <w:t>Subject, role, issued-at, expiry; no PHI and no PII beyond the user identifier</w:t>
            </w:r>
          </w:p>
        </w:tc>
      </w:tr>
    </w:tbl>
    <w:p/>
    <w:p>
      <w:r>
        <w:t>Server-side revocation matters more than token lifetime. A stateless JWT is valid until it expires no matter what happens to the account behind it, so disablement, role change, and offboarding are only effective if the platform checks revocation state on each request. The platform performs this check in the shared authentication dependency, which also enforces account-disabled and pending-approval states.</w:t>
      </w:r>
    </w:p>
    <w:p>
      <w:pPr>
        <w:pStyle w:val="Heading1"/>
      </w:pPr>
      <w:r>
        <w:t>6. Authorization model</w:t>
      </w:r>
    </w:p>
    <w:p>
      <w:r>
        <w:t>Authorization is role-based, with a strict hierarchy. A role at a given level inherits the permissions of every level below it.</w:t>
      </w:r>
    </w:p>
    <w:tbl>
      <w:tblPr>
        <w:tblStyle w:val="TableGrid"/>
        <w:tblW w:type="auto" w:w="0"/>
        <w:tblLook w:firstColumn="1" w:firstRow="1" w:lastColumn="0" w:lastRow="0" w:noHBand="0" w:noVBand="1" w:val="04A0"/>
      </w:tblPr>
      <w:tblGrid>
        <w:gridCol w:w="3120"/>
        <w:gridCol w:w="3120"/>
        <w:gridCol w:w="3120"/>
      </w:tblGrid>
      <w:tr>
        <w:tc>
          <w:tcPr>
            <w:tcW w:type="dxa" w:w="1152"/>
            <w:shd w:val="clear" w:fill="0F2B4C"/>
          </w:tcPr>
          <w:p>
            <w:r>
              <w:rPr>
                <w:b/>
                <w:color w:val="FFFFFF"/>
                <w:sz w:val="18"/>
              </w:rPr>
              <w:t>Level</w:t>
            </w:r>
          </w:p>
        </w:tc>
        <w:tc>
          <w:tcPr>
            <w:tcW w:type="dxa" w:w="2160"/>
            <w:shd w:val="clear" w:fill="0F2B4C"/>
          </w:tcPr>
          <w:p>
            <w:r>
              <w:rPr>
                <w:b/>
                <w:color w:val="FFFFFF"/>
                <w:sz w:val="18"/>
              </w:rPr>
              <w:t>Role</w:t>
            </w:r>
          </w:p>
        </w:tc>
        <w:tc>
          <w:tcPr>
            <w:tcW w:type="dxa" w:w="5616"/>
            <w:shd w:val="clear" w:fill="0F2B4C"/>
          </w:tcPr>
          <w:p>
            <w:r>
              <w:rPr>
                <w:b/>
                <w:color w:val="FFFFFF"/>
                <w:sz w:val="18"/>
              </w:rPr>
              <w:t>Typical capability</w:t>
            </w:r>
          </w:p>
        </w:tc>
      </w:tr>
      <w:tr>
        <w:tc>
          <w:tcPr>
            <w:tcW w:type="dxa" w:w="1152"/>
          </w:tcPr>
          <w:p>
            <w:r>
              <w:rPr>
                <w:sz w:val="18"/>
              </w:rPr>
              <w:t>1</w:t>
            </w:r>
          </w:p>
        </w:tc>
        <w:tc>
          <w:tcPr>
            <w:tcW w:type="dxa" w:w="2160"/>
          </w:tcPr>
          <w:p>
            <w:r>
              <w:rPr>
                <w:sz w:val="18"/>
              </w:rPr>
              <w:t>viewer</w:t>
            </w:r>
          </w:p>
        </w:tc>
        <w:tc>
          <w:tcPr>
            <w:tcW w:type="dxa" w:w="5616"/>
          </w:tcPr>
          <w:p>
            <w:r>
              <w:rPr>
                <w:sz w:val="18"/>
              </w:rPr>
              <w:t>Read published content and aggregate dashboards</w:t>
            </w:r>
          </w:p>
        </w:tc>
      </w:tr>
      <w:tr>
        <w:tc>
          <w:tcPr>
            <w:tcW w:type="dxa" w:w="1152"/>
          </w:tcPr>
          <w:p>
            <w:r>
              <w:rPr>
                <w:sz w:val="18"/>
              </w:rPr>
              <w:t>2</w:t>
            </w:r>
          </w:p>
        </w:tc>
        <w:tc>
          <w:tcPr>
            <w:tcW w:type="dxa" w:w="2160"/>
          </w:tcPr>
          <w:p>
            <w:r>
              <w:rPr>
                <w:sz w:val="18"/>
              </w:rPr>
              <w:t>contributor</w:t>
            </w:r>
          </w:p>
        </w:tc>
        <w:tc>
          <w:tcPr>
            <w:tcW w:type="dxa" w:w="5616"/>
          </w:tcPr>
          <w:p>
            <w:r>
              <w:rPr>
                <w:sz w:val="18"/>
              </w:rPr>
              <w:t>Trigger collection, refresh, and analysis operations</w:t>
            </w:r>
          </w:p>
        </w:tc>
      </w:tr>
      <w:tr>
        <w:tc>
          <w:tcPr>
            <w:tcW w:type="dxa" w:w="1152"/>
          </w:tcPr>
          <w:p>
            <w:r>
              <w:rPr>
                <w:sz w:val="18"/>
              </w:rPr>
              <w:t>4</w:t>
            </w:r>
          </w:p>
        </w:tc>
        <w:tc>
          <w:tcPr>
            <w:tcW w:type="dxa" w:w="2160"/>
          </w:tcPr>
          <w:p>
            <w:r>
              <w:rPr>
                <w:sz w:val="18"/>
              </w:rPr>
              <w:t>reviewer</w:t>
            </w:r>
          </w:p>
        </w:tc>
        <w:tc>
          <w:tcPr>
            <w:tcW w:type="dxa" w:w="5616"/>
          </w:tcPr>
          <w:p>
            <w:r>
              <w:rPr>
                <w:sz w:val="18"/>
              </w:rPr>
              <w:t>Front-line review queues and dispositions</w:t>
            </w:r>
          </w:p>
        </w:tc>
      </w:tr>
      <w:tr>
        <w:tc>
          <w:tcPr>
            <w:tcW w:type="dxa" w:w="1152"/>
          </w:tcPr>
          <w:p>
            <w:r>
              <w:rPr>
                <w:sz w:val="18"/>
              </w:rPr>
              <w:t>5</w:t>
            </w:r>
          </w:p>
        </w:tc>
        <w:tc>
          <w:tcPr>
            <w:tcW w:type="dxa" w:w="2160"/>
          </w:tcPr>
          <w:p>
            <w:r>
              <w:rPr>
                <w:sz w:val="18"/>
              </w:rPr>
              <w:t>senior_analyst</w:t>
            </w:r>
          </w:p>
        </w:tc>
        <w:tc>
          <w:tcPr>
            <w:tcW w:type="dxa" w:w="5616"/>
          </w:tcPr>
          <w:p>
            <w:r>
              <w:rPr>
                <w:sz w:val="18"/>
              </w:rPr>
              <w:t>Bucket overrides, escalation queues, calibration</w:t>
            </w:r>
          </w:p>
        </w:tc>
      </w:tr>
      <w:tr>
        <w:tc>
          <w:tcPr>
            <w:tcW w:type="dxa" w:w="1152"/>
          </w:tcPr>
          <w:p>
            <w:r>
              <w:rPr>
                <w:sz w:val="18"/>
              </w:rPr>
              <w:t>6</w:t>
            </w:r>
          </w:p>
        </w:tc>
        <w:tc>
          <w:tcPr>
            <w:tcW w:type="dxa" w:w="2160"/>
          </w:tcPr>
          <w:p>
            <w:r>
              <w:rPr>
                <w:sz w:val="18"/>
              </w:rPr>
              <w:t>qalead</w:t>
            </w:r>
          </w:p>
        </w:tc>
        <w:tc>
          <w:tcPr>
            <w:tcW w:type="dxa" w:w="5616"/>
          </w:tcPr>
          <w:p>
            <w:r>
              <w:rPr>
                <w:sz w:val="18"/>
              </w:rPr>
              <w:t>Delivery and approval, methodology sign-off, all queues</w:t>
            </w:r>
          </w:p>
        </w:tc>
      </w:tr>
      <w:tr>
        <w:tc>
          <w:tcPr>
            <w:tcW w:type="dxa" w:w="1152"/>
          </w:tcPr>
          <w:p>
            <w:r>
              <w:rPr>
                <w:sz w:val="18"/>
              </w:rPr>
              <w:t>max</w:t>
            </w:r>
          </w:p>
        </w:tc>
        <w:tc>
          <w:tcPr>
            <w:tcW w:type="dxa" w:w="2160"/>
          </w:tcPr>
          <w:p>
            <w:r>
              <w:rPr>
                <w:sz w:val="18"/>
              </w:rPr>
              <w:t>admin</w:t>
            </w:r>
          </w:p>
        </w:tc>
        <w:tc>
          <w:tcPr>
            <w:tcW w:type="dxa" w:w="5616"/>
          </w:tcPr>
          <w:p>
            <w:r>
              <w:rPr>
                <w:sz w:val="18"/>
              </w:rPr>
              <w:t>Registry administration, purge operations, user management</w:t>
            </w:r>
          </w:p>
        </w:tc>
      </w:tr>
    </w:tbl>
    <w:p/>
    <w:p>
      <w:pPr>
        <w:pStyle w:val="Heading2"/>
      </w:pPr>
      <w:r>
        <w:t>6.1 Enforcement location</w:t>
      </w:r>
    </w:p>
    <w:p>
      <w:r>
        <w:t>Authorization is enforced at the router level, not inside individual handlers. This is a deliberate structural choice: a control attached to each handler is a control that the next handler added will be missing. Router-level dependencies mean a new endpoint inherits the requirement by existing.</w:t>
      </w:r>
    </w:p>
    <w:p>
      <w:pPr>
        <w:pStyle w:val="Heading2"/>
      </w:pPr>
      <w:r>
        <w:t>6.2 Least privilege</w:t>
      </w:r>
    </w:p>
    <w:p>
      <w:pPr>
        <w:pStyle w:val="ListBullet"/>
      </w:pPr>
      <w:r>
        <w:t>Access is granted on documented business need, not on convenience or seniority.</w:t>
      </w:r>
    </w:p>
    <w:p>
      <w:pPr>
        <w:pStyle w:val="ListBullet"/>
      </w:pPr>
      <w:r>
        <w:t>Azure role assignments are scoped to the resource group, never to the subscription, for any principal that does not require subscription-wide reach. A CI service principal with subscription Contributor is a standing path to every resource owned.</w:t>
      </w:r>
    </w:p>
    <w:p>
      <w:pPr>
        <w:pStyle w:val="ListBullet"/>
      </w:pPr>
      <w:r>
        <w:t>Default deny: an endpoint with no explicit authorization requirement is treated as a defect, not as an intentional public endpoint, unless it is documented as such.</w:t>
      </w:r>
    </w:p>
    <w:p>
      <w:pPr>
        <w:pStyle w:val="Heading1"/>
      </w:pPr>
      <w:r>
        <w:t>7. Account lifecycle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fill="0F2B4C"/>
          </w:tcPr>
          <w:p>
            <w:r>
              <w:rPr>
                <w:b/>
                <w:color w:val="FFFFFF"/>
                <w:sz w:val="18"/>
              </w:rPr>
              <w:t>Stage</w:t>
            </w:r>
          </w:p>
        </w:tc>
        <w:tc>
          <w:tcPr>
            <w:tcW w:type="dxa" w:w="2160"/>
            <w:shd w:val="clear" w:fill="0F2B4C"/>
          </w:tcPr>
          <w:p>
            <w:r>
              <w:rPr>
                <w:b/>
                <w:color w:val="FFFFFF"/>
                <w:sz w:val="18"/>
              </w:rPr>
              <w:t>Trigger</w:t>
            </w:r>
          </w:p>
        </w:tc>
        <w:tc>
          <w:tcPr>
            <w:tcW w:type="dxa" w:w="2736"/>
            <w:shd w:val="clear" w:fill="0F2B4C"/>
          </w:tcPr>
          <w:p>
            <w:r>
              <w:rPr>
                <w:b/>
                <w:color w:val="FFFFFF"/>
                <w:sz w:val="18"/>
              </w:rPr>
              <w:t>Action</w:t>
            </w:r>
          </w:p>
        </w:tc>
        <w:tc>
          <w:tcPr>
            <w:tcW w:type="dxa" w:w="1728"/>
            <w:shd w:val="clear" w:fill="0F2B4C"/>
          </w:tcPr>
          <w:p>
            <w:r>
              <w:rPr>
                <w:b/>
                <w:color w:val="FFFFFF"/>
                <w:sz w:val="18"/>
              </w:rPr>
              <w:t>Owner</w:t>
            </w:r>
          </w:p>
        </w:tc>
        <w:tc>
          <w:tcPr>
            <w:tcW w:type="dxa" w:w="1296"/>
            <w:shd w:val="clear" w:fill="0F2B4C"/>
          </w:tcPr>
          <w:p>
            <w:r>
              <w:rPr>
                <w:b/>
                <w:color w:val="FFFFFF"/>
                <w:sz w:val="18"/>
              </w:rPr>
              <w:t>SLA</w:t>
            </w:r>
          </w:p>
        </w:tc>
      </w:tr>
      <w:tr>
        <w:tc>
          <w:tcPr>
            <w:tcW w:type="dxa" w:w="1296"/>
          </w:tcPr>
          <w:p>
            <w:r>
              <w:rPr>
                <w:sz w:val="18"/>
              </w:rPr>
              <w:t>Provision</w:t>
            </w:r>
          </w:p>
        </w:tc>
        <w:tc>
          <w:tcPr>
            <w:tcW w:type="dxa" w:w="2160"/>
          </w:tcPr>
          <w:p>
            <w:r>
              <w:rPr>
                <w:sz w:val="18"/>
              </w:rPr>
              <w:t>Approved access request</w:t>
            </w:r>
          </w:p>
        </w:tc>
        <w:tc>
          <w:tcPr>
            <w:tcW w:type="dxa" w:w="2736"/>
          </w:tcPr>
          <w:p>
            <w:r>
              <w:rPr>
                <w:sz w:val="18"/>
              </w:rPr>
              <w:t>Create identity, assign minimum role</w:t>
            </w:r>
          </w:p>
        </w:tc>
        <w:tc>
          <w:tcPr>
            <w:tcW w:type="dxa" w:w="1728"/>
          </w:tcPr>
          <w:p>
            <w:r>
              <w:rPr>
                <w:sz w:val="18"/>
              </w:rPr>
              <w:t>Security Officer</w:t>
            </w:r>
          </w:p>
        </w:tc>
        <w:tc>
          <w:tcPr>
            <w:tcW w:type="dxa" w:w="1296"/>
          </w:tcPr>
          <w:p>
            <w:r>
              <w:rPr>
                <w:sz w:val="18"/>
              </w:rPr>
              <w:t>2 business days</w:t>
            </w:r>
          </w:p>
        </w:tc>
      </w:tr>
      <w:tr>
        <w:tc>
          <w:tcPr>
            <w:tcW w:type="dxa" w:w="1296"/>
          </w:tcPr>
          <w:p>
            <w:r>
              <w:rPr>
                <w:sz w:val="18"/>
              </w:rPr>
              <w:t>Modify</w:t>
            </w:r>
          </w:p>
        </w:tc>
        <w:tc>
          <w:tcPr>
            <w:tcW w:type="dxa" w:w="2160"/>
          </w:tcPr>
          <w:p>
            <w:r>
              <w:rPr>
                <w:sz w:val="18"/>
              </w:rPr>
              <w:t>Role change or transfer</w:t>
            </w:r>
          </w:p>
        </w:tc>
        <w:tc>
          <w:tcPr>
            <w:tcW w:type="dxa" w:w="2736"/>
          </w:tcPr>
          <w:p>
            <w:r>
              <w:rPr>
                <w:sz w:val="18"/>
              </w:rPr>
              <w:t>Re-baseline to new role; remove prior role</w:t>
            </w:r>
          </w:p>
        </w:tc>
        <w:tc>
          <w:tcPr>
            <w:tcW w:type="dxa" w:w="1728"/>
          </w:tcPr>
          <w:p>
            <w:r>
              <w:rPr>
                <w:sz w:val="18"/>
              </w:rPr>
              <w:t>Security Officer</w:t>
            </w:r>
          </w:p>
        </w:tc>
        <w:tc>
          <w:tcPr>
            <w:tcW w:type="dxa" w:w="1296"/>
          </w:tcPr>
          <w:p>
            <w:r>
              <w:rPr>
                <w:sz w:val="18"/>
              </w:rPr>
              <w:t>2 business days</w:t>
            </w:r>
          </w:p>
        </w:tc>
      </w:tr>
      <w:tr>
        <w:tc>
          <w:tcPr>
            <w:tcW w:type="dxa" w:w="1296"/>
          </w:tcPr>
          <w:p>
            <w:r>
              <w:rPr>
                <w:sz w:val="18"/>
              </w:rPr>
              <w:t>Disable</w:t>
            </w:r>
          </w:p>
        </w:tc>
        <w:tc>
          <w:tcPr>
            <w:tcW w:type="dxa" w:w="2160"/>
          </w:tcPr>
          <w:p>
            <w:r>
              <w:rPr>
                <w:sz w:val="18"/>
              </w:rPr>
              <w:t>Termination or extended leave</w:t>
            </w:r>
          </w:p>
        </w:tc>
        <w:tc>
          <w:tcPr>
            <w:tcW w:type="dxa" w:w="2736"/>
          </w:tcPr>
          <w:p>
            <w:r>
              <w:rPr>
                <w:sz w:val="18"/>
              </w:rPr>
              <w:t>Disable account, revoke sessions</w:t>
            </w:r>
          </w:p>
        </w:tc>
        <w:tc>
          <w:tcPr>
            <w:tcW w:type="dxa" w:w="1728"/>
          </w:tcPr>
          <w:p>
            <w:r>
              <w:rPr>
                <w:sz w:val="18"/>
              </w:rPr>
              <w:t>Security Officer</w:t>
            </w:r>
          </w:p>
        </w:tc>
        <w:tc>
          <w:tcPr>
            <w:tcW w:type="dxa" w:w="1296"/>
          </w:tcPr>
          <w:p>
            <w:r>
              <w:rPr>
                <w:sz w:val="18"/>
              </w:rPr>
              <w:t>Same day</w:t>
            </w:r>
          </w:p>
        </w:tc>
      </w:tr>
      <w:tr>
        <w:tc>
          <w:tcPr>
            <w:tcW w:type="dxa" w:w="1296"/>
          </w:tcPr>
          <w:p>
            <w:r>
              <w:rPr>
                <w:sz w:val="18"/>
              </w:rPr>
              <w:t>Delete</w:t>
            </w:r>
          </w:p>
        </w:tc>
        <w:tc>
          <w:tcPr>
            <w:tcW w:type="dxa" w:w="2160"/>
          </w:tcPr>
          <w:p>
            <w:r>
              <w:rPr>
                <w:sz w:val="18"/>
              </w:rPr>
              <w:t>Retention period elapsed</w:t>
            </w:r>
          </w:p>
        </w:tc>
        <w:tc>
          <w:tcPr>
            <w:tcW w:type="dxa" w:w="2736"/>
          </w:tcPr>
          <w:p>
            <w:r>
              <w:rPr>
                <w:sz w:val="18"/>
              </w:rPr>
              <w:t>Remove identity; retain audit records</w:t>
            </w:r>
          </w:p>
        </w:tc>
        <w:tc>
          <w:tcPr>
            <w:tcW w:type="dxa" w:w="1728"/>
          </w:tcPr>
          <w:p>
            <w:r>
              <w:rPr>
                <w:sz w:val="18"/>
              </w:rPr>
              <w:t>Security Officer</w:t>
            </w:r>
          </w:p>
        </w:tc>
        <w:tc>
          <w:tcPr>
            <w:tcW w:type="dxa" w:w="1296"/>
          </w:tcPr>
          <w:p>
            <w:r>
              <w:rPr>
                <w:sz w:val="18"/>
              </w:rPr>
              <w:t>Per AGT-DRP-007</w:t>
            </w:r>
          </w:p>
        </w:tc>
      </w:tr>
    </w:tbl>
    <w:p/>
    <w:p>
      <w:r>
        <w:t>Disablement revokes active sessions rather than only preventing new logins. An account disabled without session revocation remains usable for the life of any token already issued to it, which is precisely the window in which a departing user acts.</w:t>
      </w:r>
    </w:p>
    <w:p>
      <w:pPr>
        <w:pStyle w:val="Heading1"/>
      </w:pPr>
      <w:r>
        <w:t>8. Privileged access</w:t>
      </w:r>
    </w:p>
    <w:p>
      <w:pPr>
        <w:pStyle w:val="ListBullet"/>
      </w:pPr>
      <w:r>
        <w:t>Administrative roles are assigned to named individuals. Shared administrative accounts are prohibited: they destroy attribution, which is the property that makes an audit log useful.</w:t>
      </w:r>
    </w:p>
    <w:p>
      <w:pPr>
        <w:pStyle w:val="ListBullet"/>
      </w:pPr>
      <w:r>
        <w:t>Privileged access is time-bound through Entra ID Privileged Identity Management where available, with activation requiring justification and MFA.</w:t>
      </w:r>
    </w:p>
    <w:p>
      <w:pPr>
        <w:pStyle w:val="ListBullet"/>
      </w:pPr>
      <w:r>
        <w:t>Administrative actions are logged to the platform audit log and to Azure activity logs, which are separate stores; an attacker who compromises the application does not thereby control the Azure-side record.</w:t>
      </w:r>
    </w:p>
    <w:p>
      <w:pPr>
        <w:pStyle w:val="ListBullet"/>
      </w:pPr>
      <w:r>
        <w:t>Quarterly review of all privileged assignments is mandatory (see AGT-CMS-024).</w:t>
      </w:r>
    </w:p>
    <w:p>
      <w:pPr>
        <w:pStyle w:val="Heading1"/>
      </w:pPr>
      <w:r>
        <w:t>9. Service and workload identities</w:t>
      </w:r>
    </w:p>
    <w:p>
      <w:r>
        <w:t>The platform uses Azure system-assigned managed identity to read secrets from Key Vault. This removes the bootstrap secret problem: there is no credential to store, rotate, or leak, because the platform issues and rotates it.</w:t>
      </w:r>
    </w:p>
    <w:p>
      <w:pPr>
        <w:pStyle w:val="ListBullet"/>
      </w:pPr>
      <w:r>
        <w:t>Service principals used by CI/CD are scoped to the specific resource groups they deploy to and hold no standing subscription-level role.</w:t>
      </w:r>
    </w:p>
    <w:p>
      <w:pPr>
        <w:pStyle w:val="ListBullet"/>
      </w:pPr>
      <w:r>
        <w:t>Service account credentials, where unavoidable, are stored in Key Vault and never in application configuration, source control, or a .env file.</w:t>
      </w:r>
    </w:p>
    <w:p>
      <w:pPr>
        <w:pStyle w:val="ListBullet"/>
      </w:pPr>
      <w:r>
        <w:t>Every non-human identity has a named human owner accountable for its review.</w:t>
      </w:r>
    </w:p>
    <w:p>
      <w:r>
        <w:rPr>
          <w:i/>
          <w:color w:val="5A5A5A"/>
          <w:sz w:val="19"/>
        </w:rPr>
        <w:t>A known finding is recorded against this control: the production DATABASE_URL is presently a literal connection string in App Service configuration rather than a Key Vault reference. Remediation is tracked in the POA&amp;M and documented in the runbook docs/runbooks/database-url-to-keyvault.md.</w:t>
      </w:r>
    </w:p>
    <w:p>
      <w:pPr>
        <w:pStyle w:val="Heading1"/>
      </w:pPr>
      <w:r>
        <w:t>10. Access review</w:t>
      </w:r>
    </w:p>
    <w:tbl>
      <w:tblPr>
        <w:tblStyle w:val="TableGrid"/>
        <w:tblW w:type="auto" w:w="0"/>
        <w:tblLook w:firstColumn="1" w:firstRow="1" w:lastColumn="0" w:lastRow="0" w:noHBand="0" w:noVBand="1" w:val="04A0"/>
      </w:tblPr>
      <w:tblGrid>
        <w:gridCol w:w="2340"/>
        <w:gridCol w:w="2340"/>
        <w:gridCol w:w="2340"/>
        <w:gridCol w:w="2340"/>
      </w:tblGrid>
      <w:tr>
        <w:tc>
          <w:tcPr>
            <w:tcW w:type="dxa" w:w="3168"/>
            <w:shd w:val="clear" w:fill="0F2B4C"/>
          </w:tcPr>
          <w:p>
            <w:r>
              <w:rPr>
                <w:b/>
                <w:color w:val="FFFFFF"/>
                <w:sz w:val="18"/>
              </w:rPr>
              <w:t>Review</w:t>
            </w:r>
          </w:p>
        </w:tc>
        <w:tc>
          <w:tcPr>
            <w:tcW w:type="dxa" w:w="1440"/>
            <w:shd w:val="clear" w:fill="0F2B4C"/>
          </w:tcPr>
          <w:p>
            <w:r>
              <w:rPr>
                <w:b/>
                <w:color w:val="FFFFFF"/>
                <w:sz w:val="18"/>
              </w:rPr>
              <w:t>Frequency</w:t>
            </w:r>
          </w:p>
        </w:tc>
        <w:tc>
          <w:tcPr>
            <w:tcW w:type="dxa" w:w="1872"/>
            <w:shd w:val="clear" w:fill="0F2B4C"/>
          </w:tcPr>
          <w:p>
            <w:r>
              <w:rPr>
                <w:b/>
                <w:color w:val="FFFFFF"/>
                <w:sz w:val="18"/>
              </w:rPr>
              <w:t>Reviewer</w:t>
            </w:r>
          </w:p>
        </w:tc>
        <w:tc>
          <w:tcPr>
            <w:tcW w:type="dxa" w:w="2448"/>
            <w:shd w:val="clear" w:fill="0F2B4C"/>
          </w:tcPr>
          <w:p>
            <w:r>
              <w:rPr>
                <w:b/>
                <w:color w:val="FFFFFF"/>
                <w:sz w:val="18"/>
              </w:rPr>
              <w:t>Evidence</w:t>
            </w:r>
          </w:p>
        </w:tc>
      </w:tr>
      <w:tr>
        <w:tc>
          <w:tcPr>
            <w:tcW w:type="dxa" w:w="3168"/>
          </w:tcPr>
          <w:p>
            <w:r>
              <w:rPr>
                <w:sz w:val="18"/>
              </w:rPr>
              <w:t>All user accounts and roles</w:t>
            </w:r>
          </w:p>
        </w:tc>
        <w:tc>
          <w:tcPr>
            <w:tcW w:type="dxa" w:w="1440"/>
          </w:tcPr>
          <w:p>
            <w:r>
              <w:rPr>
                <w:sz w:val="18"/>
              </w:rPr>
              <w:t>Quarterly</w:t>
            </w:r>
          </w:p>
        </w:tc>
        <w:tc>
          <w:tcPr>
            <w:tcW w:type="dxa" w:w="1872"/>
          </w:tcPr>
          <w:p>
            <w:r>
              <w:rPr>
                <w:sz w:val="18"/>
              </w:rPr>
              <w:t>Security Officer</w:t>
            </w:r>
          </w:p>
        </w:tc>
        <w:tc>
          <w:tcPr>
            <w:tcW w:type="dxa" w:w="2448"/>
          </w:tcPr>
          <w:p>
            <w:r>
              <w:rPr>
                <w:sz w:val="18"/>
              </w:rPr>
              <w:t>Quarterly Access Review record</w:t>
            </w:r>
          </w:p>
        </w:tc>
      </w:tr>
      <w:tr>
        <w:tc>
          <w:tcPr>
            <w:tcW w:type="dxa" w:w="3168"/>
          </w:tcPr>
          <w:p>
            <w:r>
              <w:rPr>
                <w:sz w:val="18"/>
              </w:rPr>
              <w:t>Privileged and admin roles</w:t>
            </w:r>
          </w:p>
        </w:tc>
        <w:tc>
          <w:tcPr>
            <w:tcW w:type="dxa" w:w="1440"/>
          </w:tcPr>
          <w:p>
            <w:r>
              <w:rPr>
                <w:sz w:val="18"/>
              </w:rPr>
              <w:t>Quarterly</w:t>
            </w:r>
          </w:p>
        </w:tc>
        <w:tc>
          <w:tcPr>
            <w:tcW w:type="dxa" w:w="1872"/>
          </w:tcPr>
          <w:p>
            <w:r>
              <w:rPr>
                <w:sz w:val="18"/>
              </w:rPr>
              <w:t>CEO</w:t>
            </w:r>
          </w:p>
        </w:tc>
        <w:tc>
          <w:tcPr>
            <w:tcW w:type="dxa" w:w="2448"/>
          </w:tcPr>
          <w:p>
            <w:r>
              <w:rPr>
                <w:sz w:val="18"/>
              </w:rPr>
              <w:t>Quarterly Access Review record</w:t>
            </w:r>
          </w:p>
        </w:tc>
      </w:tr>
      <w:tr>
        <w:tc>
          <w:tcPr>
            <w:tcW w:type="dxa" w:w="3168"/>
          </w:tcPr>
          <w:p>
            <w:r>
              <w:rPr>
                <w:sz w:val="18"/>
              </w:rPr>
              <w:t>Service principals and managed identities</w:t>
            </w:r>
          </w:p>
        </w:tc>
        <w:tc>
          <w:tcPr>
            <w:tcW w:type="dxa" w:w="1440"/>
          </w:tcPr>
          <w:p>
            <w:r>
              <w:rPr>
                <w:sz w:val="18"/>
              </w:rPr>
              <w:t>Quarterly</w:t>
            </w:r>
          </w:p>
        </w:tc>
        <w:tc>
          <w:tcPr>
            <w:tcW w:type="dxa" w:w="1872"/>
          </w:tcPr>
          <w:p>
            <w:r>
              <w:rPr>
                <w:sz w:val="18"/>
              </w:rPr>
              <w:t>Security Officer</w:t>
            </w:r>
          </w:p>
        </w:tc>
        <w:tc>
          <w:tcPr>
            <w:tcW w:type="dxa" w:w="2448"/>
          </w:tcPr>
          <w:p>
            <w:r>
              <w:rPr>
                <w:sz w:val="18"/>
              </w:rPr>
              <w:t>Azure IAM export</w:t>
            </w:r>
          </w:p>
        </w:tc>
      </w:tr>
      <w:tr>
        <w:tc>
          <w:tcPr>
            <w:tcW w:type="dxa" w:w="3168"/>
          </w:tcPr>
          <w:p>
            <w:r>
              <w:rPr>
                <w:sz w:val="18"/>
              </w:rPr>
              <w:t>Azure RBAC assignments</w:t>
            </w:r>
          </w:p>
        </w:tc>
        <w:tc>
          <w:tcPr>
            <w:tcW w:type="dxa" w:w="1440"/>
          </w:tcPr>
          <w:p>
            <w:r>
              <w:rPr>
                <w:sz w:val="18"/>
              </w:rPr>
              <w:t>Quarterly</w:t>
            </w:r>
          </w:p>
        </w:tc>
        <w:tc>
          <w:tcPr>
            <w:tcW w:type="dxa" w:w="1872"/>
          </w:tcPr>
          <w:p>
            <w:r>
              <w:rPr>
                <w:sz w:val="18"/>
              </w:rPr>
              <w:t>Security Officer</w:t>
            </w:r>
          </w:p>
        </w:tc>
        <w:tc>
          <w:tcPr>
            <w:tcW w:type="dxa" w:w="2448"/>
          </w:tcPr>
          <w:p>
            <w:r>
              <w:rPr>
                <w:sz w:val="18"/>
              </w:rPr>
              <w:t>az role assignment list export</w:t>
            </w:r>
          </w:p>
        </w:tc>
      </w:tr>
    </w:tbl>
    <w:p/>
    <w:p>
      <w:pPr>
        <w:pStyle w:val="Heading1"/>
      </w:pPr>
      <w:r>
        <w:t>11. Policy violations</w:t>
      </w:r>
    </w:p>
    <w:p>
      <w:r>
        <w:t>Credential sharing, MFA bypass attempts, and unauthorized privilege escalation are treated as security incidents under AGT-IRP-022, not as administrative matters.</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Chief Executive Officer</w:t>
            </w:r>
          </w:p>
        </w:tc>
        <w:tc>
          <w:tcPr>
            <w:tcW w:type="dxa" w:w="6336"/>
          </w:tcPr>
          <w:p>
            <w:r>
              <w:rPr>
                <w:sz w:val="18"/>
              </w:rPr>
              <w:t>Approves this policy; approves privileged role assignments.</w:t>
            </w:r>
          </w:p>
        </w:tc>
      </w:tr>
      <w:tr>
        <w:tc>
          <w:tcPr>
            <w:tcW w:type="dxa" w:w="2592"/>
          </w:tcPr>
          <w:p>
            <w:r>
              <w:rPr>
                <w:sz w:val="18"/>
              </w:rPr>
              <w:t>Security Officer</w:t>
            </w:r>
          </w:p>
        </w:tc>
        <w:tc>
          <w:tcPr>
            <w:tcW w:type="dxa" w:w="6336"/>
          </w:tcPr>
          <w:p>
            <w:r>
              <w:rPr>
                <w:sz w:val="18"/>
              </w:rPr>
              <w:t>Operates identity lifecycle; performs access reviews; investigates violations.</w:t>
            </w:r>
          </w:p>
        </w:tc>
      </w:tr>
      <w:tr>
        <w:tc>
          <w:tcPr>
            <w:tcW w:type="dxa" w:w="2592"/>
          </w:tcPr>
          <w:p>
            <w:r>
              <w:rPr>
                <w:sz w:val="18"/>
              </w:rPr>
              <w:t>Privacy Officer</w:t>
            </w:r>
          </w:p>
        </w:tc>
        <w:tc>
          <w:tcPr>
            <w:tcW w:type="dxa" w:w="6336"/>
          </w:tcPr>
          <w:p>
            <w:r>
              <w:rPr>
                <w:sz w:val="18"/>
              </w:rPr>
              <w:t>Confirms access to PHI is limited to the minimum necessary.</w:t>
            </w:r>
          </w:p>
        </w:tc>
      </w:tr>
      <w:tr>
        <w:tc>
          <w:tcPr>
            <w:tcW w:type="dxa" w:w="2592"/>
          </w:tcPr>
          <w:p>
            <w:r>
              <w:rPr>
                <w:sz w:val="18"/>
              </w:rPr>
              <w:t>Engineering</w:t>
            </w:r>
          </w:p>
        </w:tc>
        <w:tc>
          <w:tcPr>
            <w:tcW w:type="dxa" w:w="6336"/>
          </w:tcPr>
          <w:p>
            <w:r>
              <w:rPr>
                <w:sz w:val="18"/>
              </w:rPr>
              <w:t>Implements authorization at the router level; keeps the role hierarchy authoritative.</w:t>
            </w:r>
          </w:p>
        </w:tc>
      </w:tr>
      <w:tr>
        <w:tc>
          <w:tcPr>
            <w:tcW w:type="dxa" w:w="2592"/>
          </w:tcPr>
          <w:p>
            <w:r>
              <w:rPr>
                <w:sz w:val="18"/>
              </w:rPr>
              <w:t>All personnel</w:t>
            </w:r>
          </w:p>
        </w:tc>
        <w:tc>
          <w:tcPr>
            <w:tcW w:type="dxa" w:w="6336"/>
          </w:tcPr>
          <w:p>
            <w:r>
              <w:rPr>
                <w:sz w:val="18"/>
              </w:rPr>
              <w:t>Protect credentials; report suspected compromise immediately.</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AC-2, AC-3, AC-5, AC-6</w:t>
            </w:r>
          </w:p>
        </w:tc>
        <w:tc>
          <w:tcPr>
            <w:tcW w:type="dxa" w:w="4320"/>
          </w:tcPr>
          <w:p>
            <w:r>
              <w:rPr>
                <w:sz w:val="18"/>
              </w:rPr>
              <w:t>Account management, access enforcement, separation of duties, least privilege.</w:t>
            </w:r>
          </w:p>
        </w:tc>
        <w:tc>
          <w:tcPr>
            <w:tcW w:type="dxa" w:w="1152"/>
          </w:tcPr>
          <w:p>
            <w:r>
              <w:rPr>
                <w:sz w:val="18"/>
              </w:rPr>
              <w:t>Met</w:t>
            </w:r>
          </w:p>
        </w:tc>
      </w:tr>
      <w:tr>
        <w:tc>
          <w:tcPr>
            <w:tcW w:type="dxa" w:w="1584"/>
          </w:tcPr>
          <w:p>
            <w:r>
              <w:rPr>
                <w:sz w:val="18"/>
              </w:rPr>
              <w:t>NIST 800-53</w:t>
            </w:r>
          </w:p>
        </w:tc>
        <w:tc>
          <w:tcPr>
            <w:tcW w:type="dxa" w:w="2160"/>
          </w:tcPr>
          <w:p>
            <w:r>
              <w:rPr>
                <w:sz w:val="18"/>
              </w:rPr>
              <w:t>IA-2, IA-4, IA-5, IA-8</w:t>
            </w:r>
          </w:p>
        </w:tc>
        <w:tc>
          <w:tcPr>
            <w:tcW w:type="dxa" w:w="4320"/>
          </w:tcPr>
          <w:p>
            <w:r>
              <w:rPr>
                <w:sz w:val="18"/>
              </w:rPr>
              <w:t>Identification and authentication, identifier and authenticator management.</w:t>
            </w:r>
          </w:p>
        </w:tc>
        <w:tc>
          <w:tcPr>
            <w:tcW w:type="dxa" w:w="1152"/>
          </w:tcPr>
          <w:p>
            <w:r>
              <w:rPr>
                <w:sz w:val="18"/>
              </w:rPr>
              <w:t>Met</w:t>
            </w:r>
          </w:p>
        </w:tc>
      </w:tr>
      <w:tr>
        <w:tc>
          <w:tcPr>
            <w:tcW w:type="dxa" w:w="1584"/>
          </w:tcPr>
          <w:p>
            <w:r>
              <w:rPr>
                <w:sz w:val="18"/>
              </w:rPr>
              <w:t>HIPAA</w:t>
            </w:r>
          </w:p>
        </w:tc>
        <w:tc>
          <w:tcPr>
            <w:tcW w:type="dxa" w:w="2160"/>
          </w:tcPr>
          <w:p>
            <w:r>
              <w:rPr>
                <w:sz w:val="18"/>
              </w:rPr>
              <w:t>164.312(a)(1)</w:t>
            </w:r>
          </w:p>
        </w:tc>
        <w:tc>
          <w:tcPr>
            <w:tcW w:type="dxa" w:w="4320"/>
          </w:tcPr>
          <w:p>
            <w:r>
              <w:rPr>
                <w:sz w:val="18"/>
              </w:rPr>
              <w:t>Technical access control - unique user identification and role-based restriction.</w:t>
            </w:r>
          </w:p>
        </w:tc>
        <w:tc>
          <w:tcPr>
            <w:tcW w:type="dxa" w:w="1152"/>
          </w:tcPr>
          <w:p>
            <w:r>
              <w:rPr>
                <w:sz w:val="18"/>
              </w:rPr>
              <w:t>Met</w:t>
            </w:r>
          </w:p>
        </w:tc>
      </w:tr>
      <w:tr>
        <w:tc>
          <w:tcPr>
            <w:tcW w:type="dxa" w:w="1584"/>
          </w:tcPr>
          <w:p>
            <w:r>
              <w:rPr>
                <w:sz w:val="18"/>
              </w:rPr>
              <w:t>HIPAA</w:t>
            </w:r>
          </w:p>
        </w:tc>
        <w:tc>
          <w:tcPr>
            <w:tcW w:type="dxa" w:w="2160"/>
          </w:tcPr>
          <w:p>
            <w:r>
              <w:rPr>
                <w:sz w:val="18"/>
              </w:rPr>
              <w:t>164.312(d)</w:t>
            </w:r>
          </w:p>
        </w:tc>
        <w:tc>
          <w:tcPr>
            <w:tcW w:type="dxa" w:w="4320"/>
          </w:tcPr>
          <w:p>
            <w:r>
              <w:rPr>
                <w:sz w:val="18"/>
              </w:rPr>
              <w:t>Person or entity authentication via Entra ID and MFA.</w:t>
            </w:r>
          </w:p>
        </w:tc>
        <w:tc>
          <w:tcPr>
            <w:tcW w:type="dxa" w:w="1152"/>
          </w:tcPr>
          <w:p>
            <w:r>
              <w:rPr>
                <w:sz w:val="18"/>
              </w:rPr>
              <w:t>Met</w:t>
            </w:r>
          </w:p>
        </w:tc>
      </w:tr>
      <w:tr>
        <w:tc>
          <w:tcPr>
            <w:tcW w:type="dxa" w:w="1584"/>
          </w:tcPr>
          <w:p>
            <w:r>
              <w:rPr>
                <w:sz w:val="18"/>
              </w:rPr>
              <w:t>HIPAA</w:t>
            </w:r>
          </w:p>
        </w:tc>
        <w:tc>
          <w:tcPr>
            <w:tcW w:type="dxa" w:w="2160"/>
          </w:tcPr>
          <w:p>
            <w:r>
              <w:rPr>
                <w:sz w:val="18"/>
              </w:rPr>
              <w:t>164.308(a)(4)</w:t>
            </w:r>
          </w:p>
        </w:tc>
        <w:tc>
          <w:tcPr>
            <w:tcW w:type="dxa" w:w="4320"/>
          </w:tcPr>
          <w:p>
            <w:r>
              <w:rPr>
                <w:sz w:val="18"/>
              </w:rPr>
              <w:t>Information access management and authorization procedures.</w:t>
            </w:r>
          </w:p>
        </w:tc>
        <w:tc>
          <w:tcPr>
            <w:tcW w:type="dxa" w:w="1152"/>
          </w:tcPr>
          <w:p>
            <w:r>
              <w:rPr>
                <w:sz w:val="18"/>
              </w:rPr>
              <w:t>Met</w:t>
            </w:r>
          </w:p>
        </w:tc>
      </w:tr>
      <w:tr>
        <w:tc>
          <w:tcPr>
            <w:tcW w:type="dxa" w:w="1584"/>
          </w:tcPr>
          <w:p>
            <w:r>
              <w:rPr>
                <w:sz w:val="18"/>
              </w:rPr>
              <w:t>SOC 2</w:t>
            </w:r>
          </w:p>
        </w:tc>
        <w:tc>
          <w:tcPr>
            <w:tcW w:type="dxa" w:w="2160"/>
          </w:tcPr>
          <w:p>
            <w:r>
              <w:rPr>
                <w:sz w:val="18"/>
              </w:rPr>
              <w:t>CC6.1, CC6.2, CC6.3</w:t>
            </w:r>
          </w:p>
        </w:tc>
        <w:tc>
          <w:tcPr>
            <w:tcW w:type="dxa" w:w="4320"/>
          </w:tcPr>
          <w:p>
            <w:r>
              <w:rPr>
                <w:sz w:val="18"/>
              </w:rPr>
              <w:t>Logical access provisioning, authentication, and removal.</w:t>
            </w:r>
          </w:p>
        </w:tc>
        <w:tc>
          <w:tcPr>
            <w:tcW w:type="dxa" w:w="1152"/>
          </w:tcPr>
          <w:p>
            <w:r>
              <w:rPr>
                <w:sz w:val="18"/>
              </w:rPr>
              <w:t>Met</w:t>
            </w:r>
          </w:p>
        </w:tc>
      </w:tr>
      <w:tr>
        <w:tc>
          <w:tcPr>
            <w:tcW w:type="dxa" w:w="1584"/>
          </w:tcPr>
          <w:p>
            <w:r>
              <w:rPr>
                <w:sz w:val="18"/>
              </w:rPr>
              <w:t>ISO 27001</w:t>
            </w:r>
          </w:p>
        </w:tc>
        <w:tc>
          <w:tcPr>
            <w:tcW w:type="dxa" w:w="2160"/>
          </w:tcPr>
          <w:p>
            <w:r>
              <w:rPr>
                <w:sz w:val="18"/>
              </w:rPr>
              <w:t>A.5.15, A.5.16, A.5.17, A.5.18</w:t>
            </w:r>
          </w:p>
        </w:tc>
        <w:tc>
          <w:tcPr>
            <w:tcW w:type="dxa" w:w="4320"/>
          </w:tcPr>
          <w:p>
            <w:r>
              <w:rPr>
                <w:sz w:val="18"/>
              </w:rPr>
              <w:t>Access control, identity management, authentication information.</w:t>
            </w:r>
          </w:p>
        </w:tc>
        <w:tc>
          <w:tcPr>
            <w:tcW w:type="dxa" w:w="1152"/>
          </w:tcPr>
          <w:p>
            <w:r>
              <w:rPr>
                <w:sz w:val="18"/>
              </w:rPr>
              <w:t>Met</w:t>
            </w:r>
          </w:p>
        </w:tc>
      </w:tr>
      <w:tr>
        <w:tc>
          <w:tcPr>
            <w:tcW w:type="dxa" w:w="1584"/>
          </w:tcPr>
          <w:p>
            <w:r>
              <w:rPr>
                <w:sz w:val="18"/>
              </w:rPr>
              <w:t>CMMI L3</w:t>
            </w:r>
          </w:p>
        </w:tc>
        <w:tc>
          <w:tcPr>
            <w:tcW w:type="dxa" w:w="2160"/>
          </w:tcPr>
          <w:p>
            <w:r>
              <w:rPr>
                <w:sz w:val="18"/>
              </w:rPr>
              <w:t>OPD, IPM</w:t>
            </w:r>
          </w:p>
        </w:tc>
        <w:tc>
          <w:tcPr>
            <w:tcW w:type="dxa" w:w="4320"/>
          </w:tcPr>
          <w:p>
            <w:r>
              <w:rPr>
                <w:sz w:val="18"/>
              </w:rPr>
              <w:t>Defined organizational process for access administration.</w:t>
            </w:r>
          </w:p>
        </w:tc>
        <w:tc>
          <w:tcPr>
            <w:tcW w:type="dxa" w:w="1152"/>
          </w:tcPr>
          <w:p>
            <w:r>
              <w:rPr>
                <w:sz w:val="18"/>
              </w:rPr>
              <w:t>Met</w:t>
            </w:r>
          </w:p>
        </w:tc>
      </w:tr>
      <w:tr>
        <w:tc>
          <w:tcPr>
            <w:tcW w:type="dxa" w:w="1584"/>
          </w:tcPr>
          <w:p>
            <w:r>
              <w:rPr>
                <w:sz w:val="18"/>
              </w:rPr>
              <w:t>FedRAMP</w:t>
            </w:r>
          </w:p>
        </w:tc>
        <w:tc>
          <w:tcPr>
            <w:tcW w:type="dxa" w:w="2160"/>
          </w:tcPr>
          <w:p>
            <w:r>
              <w:rPr>
                <w:sz w:val="18"/>
              </w:rPr>
              <w:t>AC-2(1), IA-2(1)</w:t>
            </w:r>
          </w:p>
        </w:tc>
        <w:tc>
          <w:tcPr>
            <w:tcW w:type="dxa" w:w="4320"/>
          </w:tcPr>
          <w:p>
            <w:r>
              <w:rPr>
                <w:sz w:val="18"/>
              </w:rPr>
              <w:t>Automated account management and MFA for privileged access.</w:t>
            </w:r>
          </w:p>
        </w:tc>
        <w:tc>
          <w:tcPr>
            <w:tcW w:type="dxa" w:w="1152"/>
          </w:tcPr>
          <w:p>
            <w:r>
              <w:rPr>
                <w:sz w:val="18"/>
              </w:rPr>
              <w:t>Partial - PIM not yet enabled tenant-wide.</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AGT-EISP-001</w:t>
            </w:r>
          </w:p>
        </w:tc>
        <w:tc>
          <w:tcPr>
            <w:tcW w:type="dxa" w:w="4176"/>
          </w:tcPr>
          <w:p>
            <w:r>
              <w:rPr>
                <w:sz w:val="18"/>
              </w:rPr>
              <w:t>Enterprise Information Security Policy</w:t>
            </w:r>
          </w:p>
        </w:tc>
        <w:tc>
          <w:tcPr>
            <w:tcW w:type="dxa" w:w="3168"/>
          </w:tcPr>
          <w:p>
            <w:r>
              <w:rPr>
                <w:sz w:val="18"/>
              </w:rPr>
              <w:t>Parent policy</w:t>
            </w:r>
          </w:p>
        </w:tc>
      </w:tr>
      <w:tr>
        <w:tc>
          <w:tcPr>
            <w:tcW w:type="dxa" w:w="1872"/>
          </w:tcPr>
          <w:p>
            <w:r>
              <w:rPr>
                <w:sz w:val="18"/>
              </w:rPr>
              <w:t>AGT-ACP-003</w:t>
            </w:r>
          </w:p>
        </w:tc>
        <w:tc>
          <w:tcPr>
            <w:tcW w:type="dxa" w:w="4176"/>
          </w:tcPr>
          <w:p>
            <w:r>
              <w:rPr>
                <w:sz w:val="18"/>
              </w:rPr>
              <w:t>Access Control Policy</w:t>
            </w:r>
          </w:p>
        </w:tc>
        <w:tc>
          <w:tcPr>
            <w:tcW w:type="dxa" w:w="3168"/>
          </w:tcPr>
          <w:p>
            <w:r>
              <w:rPr>
                <w:sz w:val="18"/>
              </w:rPr>
              <w:t>Companion - defines access principles this document operationalizes</w:t>
            </w:r>
          </w:p>
        </w:tc>
      </w:tr>
      <w:tr>
        <w:tc>
          <w:tcPr>
            <w:tcW w:type="dxa" w:w="1872"/>
          </w:tcPr>
          <w:p>
            <w:r>
              <w:rPr>
                <w:sz w:val="18"/>
              </w:rPr>
              <w:t>AGT-RAP-005</w:t>
            </w:r>
          </w:p>
        </w:tc>
        <w:tc>
          <w:tcPr>
            <w:tcW w:type="dxa" w:w="4176"/>
          </w:tcPr>
          <w:p>
            <w:r>
              <w:rPr>
                <w:sz w:val="18"/>
              </w:rPr>
              <w:t>Remote Access Policy</w:t>
            </w:r>
          </w:p>
        </w:tc>
        <w:tc>
          <w:tcPr>
            <w:tcW w:type="dxa" w:w="3168"/>
          </w:tcPr>
          <w:p>
            <w:r>
              <w:rPr>
                <w:sz w:val="18"/>
              </w:rPr>
              <w:t>Extends this policy to remote connectivity</w:t>
            </w:r>
          </w:p>
        </w:tc>
      </w:tr>
      <w:tr>
        <w:tc>
          <w:tcPr>
            <w:tcW w:type="dxa" w:w="1872"/>
          </w:tcPr>
          <w:p>
            <w:r>
              <w:rPr>
                <w:sz w:val="18"/>
              </w:rPr>
              <w:t>AGT-CKM-009</w:t>
            </w:r>
          </w:p>
        </w:tc>
        <w:tc>
          <w:tcPr>
            <w:tcW w:type="dxa" w:w="4176"/>
          </w:tcPr>
          <w:p>
            <w:r>
              <w:rPr>
                <w:sz w:val="18"/>
              </w:rPr>
              <w:t>Cryptographic Key Management Policy</w:t>
            </w:r>
          </w:p>
        </w:tc>
        <w:tc>
          <w:tcPr>
            <w:tcW w:type="dxa" w:w="3168"/>
          </w:tcPr>
          <w:p>
            <w:r>
              <w:rPr>
                <w:sz w:val="18"/>
              </w:rPr>
              <w:t>Governs the signing key and Key Vault</w:t>
            </w:r>
          </w:p>
        </w:tc>
      </w:tr>
      <w:tr>
        <w:tc>
          <w:tcPr>
            <w:tcW w:type="dxa" w:w="1872"/>
          </w:tcPr>
          <w:p>
            <w:r>
              <w:rPr>
                <w:sz w:val="18"/>
              </w:rPr>
              <w:t>AGT-LMP-018</w:t>
            </w:r>
          </w:p>
        </w:tc>
        <w:tc>
          <w:tcPr>
            <w:tcW w:type="dxa" w:w="4176"/>
          </w:tcPr>
          <w:p>
            <w:r>
              <w:rPr>
                <w:sz w:val="18"/>
              </w:rPr>
              <w:t>Logging and Monitoring Policy</w:t>
            </w:r>
          </w:p>
        </w:tc>
        <w:tc>
          <w:tcPr>
            <w:tcW w:type="dxa" w:w="3168"/>
          </w:tcPr>
          <w:p>
            <w:r>
              <w:rPr>
                <w:sz w:val="18"/>
              </w:rPr>
              <w:t>Defines audit capture for identity events</w:t>
            </w:r>
          </w:p>
        </w:tc>
      </w:tr>
      <w:tr>
        <w:tc>
          <w:tcPr>
            <w:tcW w:type="dxa" w:w="1872"/>
          </w:tcPr>
          <w:p>
            <w:r>
              <w:rPr>
                <w:sz w:val="18"/>
              </w:rPr>
              <w:t>AGT-CMS-024</w:t>
            </w:r>
          </w:p>
        </w:tc>
        <w:tc>
          <w:tcPr>
            <w:tcW w:type="dxa" w:w="4176"/>
          </w:tcPr>
          <w:p>
            <w:r>
              <w:rPr>
                <w:sz w:val="18"/>
              </w:rPr>
              <w:t>Continuous Monitoring Strategy</w:t>
            </w:r>
          </w:p>
        </w:tc>
        <w:tc>
          <w:tcPr>
            <w:tcW w:type="dxa" w:w="3168"/>
          </w:tcPr>
          <w:p>
            <w:r>
              <w:rPr>
                <w:sz w:val="18"/>
              </w:rPr>
              <w:t>Defines access review cadence</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AGT-IAM-004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