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Incident Response Plan</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AGT-IRP-022</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plan defines how AGT detects, contains, eradicates, recovers from, and learns from security incidents. It follows the NIST SP 800-61 lifecycle and carries the notification obligations that apply to AGT as a HIPAA business associate and federal contractor.</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Severity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fill="0F2B4C"/>
          </w:tcPr>
          <w:p>
            <w:r>
              <w:rPr>
                <w:b/>
                <w:color w:val="FFFFFF"/>
                <w:sz w:val="18"/>
              </w:rPr>
              <w:t>Severity</w:t>
            </w:r>
          </w:p>
        </w:tc>
        <w:tc>
          <w:tcPr>
            <w:tcW w:type="dxa" w:w="2448"/>
            <w:shd w:val="clear" w:fill="0F2B4C"/>
          </w:tcPr>
          <w:p>
            <w:r>
              <w:rPr>
                <w:b/>
                <w:color w:val="FFFFFF"/>
                <w:sz w:val="18"/>
              </w:rPr>
              <w:t>Definition</w:t>
            </w:r>
          </w:p>
        </w:tc>
        <w:tc>
          <w:tcPr>
            <w:tcW w:type="dxa" w:w="2592"/>
            <w:shd w:val="clear" w:fill="0F2B4C"/>
          </w:tcPr>
          <w:p>
            <w:r>
              <w:rPr>
                <w:b/>
                <w:color w:val="FFFFFF"/>
                <w:sz w:val="18"/>
              </w:rPr>
              <w:t>Examples</w:t>
            </w:r>
          </w:p>
        </w:tc>
        <w:tc>
          <w:tcPr>
            <w:tcW w:type="dxa" w:w="1296"/>
            <w:shd w:val="clear" w:fill="0F2B4C"/>
          </w:tcPr>
          <w:p>
            <w:r>
              <w:rPr>
                <w:b/>
                <w:color w:val="FFFFFF"/>
                <w:sz w:val="18"/>
              </w:rPr>
              <w:t>Response time</w:t>
            </w:r>
          </w:p>
        </w:tc>
        <w:tc>
          <w:tcPr>
            <w:tcW w:type="dxa" w:w="2016"/>
            <w:shd w:val="clear" w:fill="0F2B4C"/>
          </w:tcPr>
          <w:p>
            <w:r>
              <w:rPr>
                <w:b/>
                <w:color w:val="FFFFFF"/>
                <w:sz w:val="18"/>
              </w:rPr>
              <w:t>Escalation</w:t>
            </w:r>
          </w:p>
        </w:tc>
      </w:tr>
      <w:tr>
        <w:tc>
          <w:tcPr>
            <w:tcW w:type="dxa" w:w="1296"/>
          </w:tcPr>
          <w:p>
            <w:r>
              <w:rPr>
                <w:sz w:val="18"/>
              </w:rPr>
              <w:t>Critical</w:t>
            </w:r>
          </w:p>
        </w:tc>
        <w:tc>
          <w:tcPr>
            <w:tcW w:type="dxa" w:w="2448"/>
          </w:tcPr>
          <w:p>
            <w:r>
              <w:rPr>
                <w:sz w:val="18"/>
              </w:rPr>
              <w:t>Confirmed breach of PHI, or total loss of service</w:t>
            </w:r>
          </w:p>
        </w:tc>
        <w:tc>
          <w:tcPr>
            <w:tcW w:type="dxa" w:w="2592"/>
          </w:tcPr>
          <w:p>
            <w:r>
              <w:rPr>
                <w:sz w:val="18"/>
              </w:rPr>
              <w:t>PHI exfiltration; ransomware; production compromise</w:t>
            </w:r>
          </w:p>
        </w:tc>
        <w:tc>
          <w:tcPr>
            <w:tcW w:type="dxa" w:w="1296"/>
          </w:tcPr>
          <w:p>
            <w:r>
              <w:rPr>
                <w:sz w:val="18"/>
              </w:rPr>
              <w:t>Immediate</w:t>
            </w:r>
          </w:p>
        </w:tc>
        <w:tc>
          <w:tcPr>
            <w:tcW w:type="dxa" w:w="2016"/>
          </w:tcPr>
          <w:p>
            <w:r>
              <w:rPr>
                <w:sz w:val="18"/>
              </w:rPr>
              <w:t>CEO + Privacy Officer immediately</w:t>
            </w:r>
          </w:p>
        </w:tc>
      </w:tr>
      <w:tr>
        <w:tc>
          <w:tcPr>
            <w:tcW w:type="dxa" w:w="1296"/>
          </w:tcPr>
          <w:p>
            <w:r>
              <w:rPr>
                <w:sz w:val="18"/>
              </w:rPr>
              <w:t>High</w:t>
            </w:r>
          </w:p>
        </w:tc>
        <w:tc>
          <w:tcPr>
            <w:tcW w:type="dxa" w:w="2448"/>
          </w:tcPr>
          <w:p>
            <w:r>
              <w:rPr>
                <w:sz w:val="18"/>
              </w:rPr>
              <w:t>Probable compromise or significant exposure</w:t>
            </w:r>
          </w:p>
        </w:tc>
        <w:tc>
          <w:tcPr>
            <w:tcW w:type="dxa" w:w="2592"/>
          </w:tcPr>
          <w:p>
            <w:r>
              <w:rPr>
                <w:sz w:val="18"/>
              </w:rPr>
              <w:t>Credential theft; privilege escalation; exposed secret</w:t>
            </w:r>
          </w:p>
        </w:tc>
        <w:tc>
          <w:tcPr>
            <w:tcW w:type="dxa" w:w="1296"/>
          </w:tcPr>
          <w:p>
            <w:r>
              <w:rPr>
                <w:sz w:val="18"/>
              </w:rPr>
              <w:t>1 hour</w:t>
            </w:r>
          </w:p>
        </w:tc>
        <w:tc>
          <w:tcPr>
            <w:tcW w:type="dxa" w:w="2016"/>
          </w:tcPr>
          <w:p>
            <w:r>
              <w:rPr>
                <w:sz w:val="18"/>
              </w:rPr>
              <w:t>CEO + Security Officer</w:t>
            </w:r>
          </w:p>
        </w:tc>
      </w:tr>
      <w:tr>
        <w:tc>
          <w:tcPr>
            <w:tcW w:type="dxa" w:w="1296"/>
          </w:tcPr>
          <w:p>
            <w:r>
              <w:rPr>
                <w:sz w:val="18"/>
              </w:rPr>
              <w:t>Medium</w:t>
            </w:r>
          </w:p>
        </w:tc>
        <w:tc>
          <w:tcPr>
            <w:tcW w:type="dxa" w:w="2448"/>
          </w:tcPr>
          <w:p>
            <w:r>
              <w:rPr>
                <w:sz w:val="18"/>
              </w:rPr>
              <w:t>Security event with limited or contained impact</w:t>
            </w:r>
          </w:p>
        </w:tc>
        <w:tc>
          <w:tcPr>
            <w:tcW w:type="dxa" w:w="2592"/>
          </w:tcPr>
          <w:p>
            <w:r>
              <w:rPr>
                <w:sz w:val="18"/>
              </w:rPr>
              <w:t>Failed intrusion attempt; malware on one endpoint</w:t>
            </w:r>
          </w:p>
        </w:tc>
        <w:tc>
          <w:tcPr>
            <w:tcW w:type="dxa" w:w="1296"/>
          </w:tcPr>
          <w:p>
            <w:r>
              <w:rPr>
                <w:sz w:val="18"/>
              </w:rPr>
              <w:t>4 hours</w:t>
            </w:r>
          </w:p>
        </w:tc>
        <w:tc>
          <w:tcPr>
            <w:tcW w:type="dxa" w:w="2016"/>
          </w:tcPr>
          <w:p>
            <w:r>
              <w:rPr>
                <w:sz w:val="18"/>
              </w:rPr>
              <w:t>Security Officer</w:t>
            </w:r>
          </w:p>
        </w:tc>
      </w:tr>
      <w:tr>
        <w:tc>
          <w:tcPr>
            <w:tcW w:type="dxa" w:w="1296"/>
          </w:tcPr>
          <w:p>
            <w:r>
              <w:rPr>
                <w:sz w:val="18"/>
              </w:rPr>
              <w:t>Low</w:t>
            </w:r>
          </w:p>
        </w:tc>
        <w:tc>
          <w:tcPr>
            <w:tcW w:type="dxa" w:w="2448"/>
          </w:tcPr>
          <w:p>
            <w:r>
              <w:rPr>
                <w:sz w:val="18"/>
              </w:rPr>
              <w:t>Policy violation or anomaly with no evident impact</w:t>
            </w:r>
          </w:p>
        </w:tc>
        <w:tc>
          <w:tcPr>
            <w:tcW w:type="dxa" w:w="2592"/>
          </w:tcPr>
          <w:p>
            <w:r>
              <w:rPr>
                <w:sz w:val="18"/>
              </w:rPr>
              <w:t>Misconfiguration found; single lost device, encrypted</w:t>
            </w:r>
          </w:p>
        </w:tc>
        <w:tc>
          <w:tcPr>
            <w:tcW w:type="dxa" w:w="1296"/>
          </w:tcPr>
          <w:p>
            <w:r>
              <w:rPr>
                <w:sz w:val="18"/>
              </w:rPr>
              <w:t>1 business day</w:t>
            </w:r>
          </w:p>
        </w:tc>
        <w:tc>
          <w:tcPr>
            <w:tcW w:type="dxa" w:w="2016"/>
          </w:tcPr>
          <w:p>
            <w:r>
              <w:rPr>
                <w:sz w:val="18"/>
              </w:rPr>
              <w:t>Security Officer</w:t>
            </w:r>
          </w:p>
        </w:tc>
      </w:tr>
    </w:tbl>
    <w:p/>
    <w:p>
      <w:pPr>
        <w:pStyle w:val="Heading1"/>
      </w:pPr>
      <w:r>
        <w:t>4. Phase 1 - Preparation</w:t>
      </w:r>
    </w:p>
    <w:p>
      <w:pPr>
        <w:pStyle w:val="ListBullet"/>
      </w:pPr>
      <w:r>
        <w:t>This plan and the runbooks it references are maintained and available offline.</w:t>
      </w:r>
    </w:p>
    <w:p>
      <w:pPr>
        <w:pStyle w:val="ListBullet"/>
      </w:pPr>
      <w:r>
        <w:t>Contact list is verified semi-annually.</w:t>
      </w:r>
    </w:p>
    <w:p>
      <w:pPr>
        <w:pStyle w:val="ListBullet"/>
      </w:pPr>
      <w:r>
        <w:t>Logging and alerting per AGT-LMP-018 provide the detection capability this plan depends on.</w:t>
      </w:r>
    </w:p>
    <w:p>
      <w:pPr>
        <w:pStyle w:val="ListBullet"/>
      </w:pPr>
      <w:r>
        <w:t>An annual tabletop exercise is conducted, and its findings amend this plan.</w:t>
      </w:r>
    </w:p>
    <w:p>
      <w:pPr>
        <w:pStyle w:val="Heading1"/>
      </w:pPr>
      <w:r>
        <w:t>5. Phase 2 - Identification</w:t>
      </w:r>
    </w:p>
    <w:p>
      <w:pPr>
        <w:pStyle w:val="ListNumber"/>
      </w:pPr>
      <w:r>
        <w:t>Receive the signal: an alert, a report from personnel, a vendor notification, or a customer report.</w:t>
      </w:r>
    </w:p>
    <w:p>
      <w:pPr>
        <w:pStyle w:val="ListNumber"/>
      </w:pPr>
      <w:r>
        <w:t>Record the time of discovery. For HIPAA, discovery starts the notification clock, so this timestamp is a legal fact, not an administrative detail.</w:t>
      </w:r>
    </w:p>
    <w:p>
      <w:pPr>
        <w:pStyle w:val="ListNumber"/>
      </w:pPr>
      <w:r>
        <w:t>Assign a severity from section 3.</w:t>
      </w:r>
    </w:p>
    <w:p>
      <w:pPr>
        <w:pStyle w:val="ListNumber"/>
      </w:pPr>
      <w:r>
        <w:t>Open an incident record and assign an incident lead.</w:t>
      </w:r>
    </w:p>
    <w:p>
      <w:pPr>
        <w:pStyle w:val="ListNumber"/>
      </w:pPr>
      <w:r>
        <w:t>Preserve evidence before changing anything: capture logs, take a snapshot, and avoid restarting the affected system if a restart would clear volatile state.</w:t>
      </w:r>
    </w:p>
    <w:p>
      <w:pPr>
        <w:pStyle w:val="Heading1"/>
      </w:pPr>
      <w:r>
        <w:t>6. Phase 3 - Containment</w:t>
      </w:r>
    </w:p>
    <w:tbl>
      <w:tblPr>
        <w:tblStyle w:val="TableGrid"/>
        <w:tblW w:type="auto" w:w="0"/>
        <w:tblLook w:firstColumn="1" w:firstRow="1" w:lastColumn="0" w:lastRow="0" w:noHBand="0" w:noVBand="1" w:val="04A0"/>
      </w:tblPr>
      <w:tblGrid>
        <w:gridCol w:w="4680"/>
        <w:gridCol w:w="4680"/>
      </w:tblGrid>
      <w:tr>
        <w:tc>
          <w:tcPr>
            <w:tcW w:type="dxa" w:w="2448"/>
            <w:shd w:val="clear" w:fill="0F2B4C"/>
          </w:tcPr>
          <w:p>
            <w:r>
              <w:rPr>
                <w:b/>
                <w:color w:val="FFFFFF"/>
                <w:sz w:val="18"/>
              </w:rPr>
              <w:t>Scenario</w:t>
            </w:r>
          </w:p>
        </w:tc>
        <w:tc>
          <w:tcPr>
            <w:tcW w:type="dxa" w:w="6480"/>
            <w:shd w:val="clear" w:fill="0F2B4C"/>
          </w:tcPr>
          <w:p>
            <w:r>
              <w:rPr>
                <w:b/>
                <w:color w:val="FFFFFF"/>
                <w:sz w:val="18"/>
              </w:rPr>
              <w:t>Immediate containment</w:t>
            </w:r>
          </w:p>
        </w:tc>
      </w:tr>
      <w:tr>
        <w:tc>
          <w:tcPr>
            <w:tcW w:type="dxa" w:w="2448"/>
          </w:tcPr>
          <w:p>
            <w:r>
              <w:rPr>
                <w:sz w:val="18"/>
              </w:rPr>
              <w:t>Credential theft</w:t>
            </w:r>
          </w:p>
        </w:tc>
        <w:tc>
          <w:tcPr>
            <w:tcW w:type="dxa" w:w="6480"/>
          </w:tcPr>
          <w:p>
            <w:r>
              <w:rPr>
                <w:sz w:val="18"/>
              </w:rPr>
              <w:t>Disable the account, revoke all sessions, rotate the token signing key if scope is unclear</w:t>
            </w:r>
          </w:p>
        </w:tc>
      </w:tr>
      <w:tr>
        <w:tc>
          <w:tcPr>
            <w:tcW w:type="dxa" w:w="2448"/>
          </w:tcPr>
          <w:p>
            <w:r>
              <w:rPr>
                <w:sz w:val="18"/>
              </w:rPr>
              <w:t>Exposed secret in code or logs</w:t>
            </w:r>
          </w:p>
        </w:tc>
        <w:tc>
          <w:tcPr>
            <w:tcW w:type="dxa" w:w="6480"/>
          </w:tcPr>
          <w:p>
            <w:r>
              <w:rPr>
                <w:sz w:val="18"/>
              </w:rPr>
              <w:t>Rotate the secret first, then remove it from the source; removal alone does not un-expose it</w:t>
            </w:r>
          </w:p>
        </w:tc>
      </w:tr>
      <w:tr>
        <w:tc>
          <w:tcPr>
            <w:tcW w:type="dxa" w:w="2448"/>
          </w:tcPr>
          <w:p>
            <w:r>
              <w:rPr>
                <w:sz w:val="18"/>
              </w:rPr>
              <w:t>Ransomware</w:t>
            </w:r>
          </w:p>
        </w:tc>
        <w:tc>
          <w:tcPr>
            <w:tcW w:type="dxa" w:w="6480"/>
          </w:tcPr>
          <w:p>
            <w:r>
              <w:rPr>
                <w:sz w:val="18"/>
              </w:rPr>
              <w:t>Isolate affected systems; do not restore until the entry vector is identified</w:t>
            </w:r>
          </w:p>
        </w:tc>
      </w:tr>
      <w:tr>
        <w:tc>
          <w:tcPr>
            <w:tcW w:type="dxa" w:w="2448"/>
          </w:tcPr>
          <w:p>
            <w:r>
              <w:rPr>
                <w:sz w:val="18"/>
              </w:rPr>
              <w:t>Application compromise</w:t>
            </w:r>
          </w:p>
        </w:tc>
        <w:tc>
          <w:tcPr>
            <w:tcW w:type="dxa" w:w="6480"/>
          </w:tcPr>
          <w:p>
            <w:r>
              <w:rPr>
                <w:sz w:val="18"/>
              </w:rPr>
              <w:t>Take the instance out of rotation; preserve it for analysis; serve from a clean rebuild</w:t>
            </w:r>
          </w:p>
        </w:tc>
      </w:tr>
      <w:tr>
        <w:tc>
          <w:tcPr>
            <w:tcW w:type="dxa" w:w="2448"/>
          </w:tcPr>
          <w:p>
            <w:r>
              <w:rPr>
                <w:sz w:val="18"/>
              </w:rPr>
              <w:t>Data exfiltration</w:t>
            </w:r>
          </w:p>
        </w:tc>
        <w:tc>
          <w:tcPr>
            <w:tcW w:type="dxa" w:w="6480"/>
          </w:tcPr>
          <w:p>
            <w:r>
              <w:rPr>
                <w:sz w:val="18"/>
              </w:rPr>
              <w:t>Block the egress path; preserve network and application logs</w:t>
            </w:r>
          </w:p>
        </w:tc>
      </w:tr>
      <w:tr>
        <w:tc>
          <w:tcPr>
            <w:tcW w:type="dxa" w:w="2448"/>
          </w:tcPr>
          <w:p>
            <w:r>
              <w:rPr>
                <w:sz w:val="18"/>
              </w:rPr>
              <w:t>Malicious insider</w:t>
            </w:r>
          </w:p>
        </w:tc>
        <w:tc>
          <w:tcPr>
            <w:tcW w:type="dxa" w:w="6480"/>
          </w:tcPr>
          <w:p>
            <w:r>
              <w:rPr>
                <w:sz w:val="18"/>
              </w:rPr>
              <w:t>Disable access without notice to the individual; involve the CEO and counsel immediately</w:t>
            </w:r>
          </w:p>
        </w:tc>
      </w:tr>
    </w:tbl>
    <w:p/>
    <w:p>
      <w:r>
        <w:t>Containment for a leaked credential is rotation, not deletion of the commit. A secret that has been pushed to a remote must be assumed captured; removing it from history changes what is visible, not what was taken.</w:t>
      </w:r>
    </w:p>
    <w:p>
      <w:pPr>
        <w:pStyle w:val="Heading1"/>
      </w:pPr>
      <w:r>
        <w:t>7. Phase 4 - Eradication and recovery</w:t>
      </w:r>
    </w:p>
    <w:p>
      <w:pPr>
        <w:pStyle w:val="ListNumber"/>
      </w:pPr>
      <w:r>
        <w:t>Identify and close the root cause, not only the symptom.</w:t>
      </w:r>
    </w:p>
    <w:p>
      <w:pPr>
        <w:pStyle w:val="ListNumber"/>
      </w:pPr>
      <w:r>
        <w:t>Rebuild rather than repair where the integrity of a system is in doubt.</w:t>
      </w:r>
    </w:p>
    <w:p>
      <w:pPr>
        <w:pStyle w:val="ListNumber"/>
      </w:pPr>
      <w:r>
        <w:t>Restore data from a recovery point preceding the compromise (AGT-DRP-021).</w:t>
      </w:r>
    </w:p>
    <w:p>
      <w:pPr>
        <w:pStyle w:val="ListNumber"/>
      </w:pPr>
      <w:r>
        <w:t>Rotate every credential the attacker could plausibly have reached.</w:t>
      </w:r>
    </w:p>
    <w:p>
      <w:pPr>
        <w:pStyle w:val="ListNumber"/>
      </w:pPr>
      <w:r>
        <w:t>Verify integrity and confirm the attacker no longer has access before restoring service.</w:t>
      </w:r>
    </w:p>
    <w:p>
      <w:pPr>
        <w:pStyle w:val="ListNumber"/>
      </w:pPr>
      <w:r>
        <w:t>Increase monitoring on the affected systems for at least 30 days.</w:t>
      </w:r>
    </w:p>
    <w:p>
      <w:pPr>
        <w:pStyle w:val="Heading1"/>
      </w:pPr>
      <w:r>
        <w:t>8. Notification obligations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fill="0F2B4C"/>
          </w:tcPr>
          <w:p>
            <w:r>
              <w:rPr>
                <w:b/>
                <w:color w:val="FFFFFF"/>
                <w:sz w:val="18"/>
              </w:rPr>
              <w:t>Recipient</w:t>
            </w:r>
          </w:p>
        </w:tc>
        <w:tc>
          <w:tcPr>
            <w:tcW w:type="dxa" w:w="2448"/>
            <w:shd w:val="clear" w:fill="0F2B4C"/>
          </w:tcPr>
          <w:p>
            <w:r>
              <w:rPr>
                <w:b/>
                <w:color w:val="FFFFFF"/>
                <w:sz w:val="18"/>
              </w:rPr>
              <w:t>Trigger</w:t>
            </w:r>
          </w:p>
        </w:tc>
        <w:tc>
          <w:tcPr>
            <w:tcW w:type="dxa" w:w="1728"/>
            <w:shd w:val="clear" w:fill="0F2B4C"/>
          </w:tcPr>
          <w:p>
            <w:r>
              <w:rPr>
                <w:b/>
                <w:color w:val="FFFFFF"/>
                <w:sz w:val="18"/>
              </w:rPr>
              <w:t>Deadline</w:t>
            </w:r>
          </w:p>
        </w:tc>
        <w:tc>
          <w:tcPr>
            <w:tcW w:type="dxa" w:w="2304"/>
            <w:shd w:val="clear" w:fill="0F2B4C"/>
          </w:tcPr>
          <w:p>
            <w:r>
              <w:rPr>
                <w:b/>
                <w:color w:val="FFFFFF"/>
                <w:sz w:val="18"/>
              </w:rPr>
              <w:t>Owner</w:t>
            </w:r>
          </w:p>
        </w:tc>
      </w:tr>
      <w:tr>
        <w:tc>
          <w:tcPr>
            <w:tcW w:type="dxa" w:w="2448"/>
          </w:tcPr>
          <w:p>
            <w:r>
              <w:rPr>
                <w:sz w:val="18"/>
              </w:rPr>
              <w:t>Government contracting officer (COR)</w:t>
            </w:r>
          </w:p>
        </w:tc>
        <w:tc>
          <w:tcPr>
            <w:tcW w:type="dxa" w:w="2448"/>
          </w:tcPr>
          <w:p>
            <w:r>
              <w:rPr>
                <w:sz w:val="18"/>
              </w:rPr>
              <w:t>Any incident affecting contract performance or data</w:t>
            </w:r>
          </w:p>
        </w:tc>
        <w:tc>
          <w:tcPr>
            <w:tcW w:type="dxa" w:w="1728"/>
          </w:tcPr>
          <w:p>
            <w:r>
              <w:rPr>
                <w:sz w:val="18"/>
              </w:rPr>
              <w:t>24 hours</w:t>
            </w:r>
          </w:p>
        </w:tc>
        <w:tc>
          <w:tcPr>
            <w:tcW w:type="dxa" w:w="2304"/>
          </w:tcPr>
          <w:p>
            <w:r>
              <w:rPr>
                <w:sz w:val="18"/>
              </w:rPr>
              <w:t>CEO</w:t>
            </w:r>
          </w:p>
        </w:tc>
      </w:tr>
      <w:tr>
        <w:tc>
          <w:tcPr>
            <w:tcW w:type="dxa" w:w="2448"/>
          </w:tcPr>
          <w:p>
            <w:r>
              <w:rPr>
                <w:sz w:val="18"/>
              </w:rPr>
              <w:t>Covered entity customer</w:t>
            </w:r>
          </w:p>
        </w:tc>
        <w:tc>
          <w:tcPr>
            <w:tcW w:type="dxa" w:w="2448"/>
          </w:tcPr>
          <w:p>
            <w:r>
              <w:rPr>
                <w:sz w:val="18"/>
              </w:rPr>
              <w:t>Breach or suspected breach of their PHI</w:t>
            </w:r>
          </w:p>
        </w:tc>
        <w:tc>
          <w:tcPr>
            <w:tcW w:type="dxa" w:w="1728"/>
          </w:tcPr>
          <w:p>
            <w:r>
              <w:rPr>
                <w:sz w:val="18"/>
              </w:rPr>
              <w:t>24 hours per BAA</w:t>
            </w:r>
          </w:p>
        </w:tc>
        <w:tc>
          <w:tcPr>
            <w:tcW w:type="dxa" w:w="2304"/>
          </w:tcPr>
          <w:p>
            <w:r>
              <w:rPr>
                <w:sz w:val="18"/>
              </w:rPr>
              <w:t>CEO</w:t>
            </w:r>
          </w:p>
        </w:tc>
      </w:tr>
      <w:tr>
        <w:tc>
          <w:tcPr>
            <w:tcW w:type="dxa" w:w="2448"/>
          </w:tcPr>
          <w:p>
            <w:r>
              <w:rPr>
                <w:sz w:val="18"/>
              </w:rPr>
              <w:t>Affected individuals</w:t>
            </w:r>
          </w:p>
        </w:tc>
        <w:tc>
          <w:tcPr>
            <w:tcW w:type="dxa" w:w="2448"/>
          </w:tcPr>
          <w:p>
            <w:r>
              <w:rPr>
                <w:sz w:val="18"/>
              </w:rPr>
              <w:t>Confirmed breach of unsecured PHI</w:t>
            </w:r>
          </w:p>
        </w:tc>
        <w:tc>
          <w:tcPr>
            <w:tcW w:type="dxa" w:w="1728"/>
          </w:tcPr>
          <w:p>
            <w:r>
              <w:rPr>
                <w:sz w:val="18"/>
              </w:rPr>
              <w:t>60 days from discovery</w:t>
            </w:r>
          </w:p>
        </w:tc>
        <w:tc>
          <w:tcPr>
            <w:tcW w:type="dxa" w:w="2304"/>
          </w:tcPr>
          <w:p>
            <w:r>
              <w:rPr>
                <w:sz w:val="18"/>
              </w:rPr>
              <w:t>Covered entity, supported by AGT</w:t>
            </w:r>
          </w:p>
        </w:tc>
      </w:tr>
      <w:tr>
        <w:tc>
          <w:tcPr>
            <w:tcW w:type="dxa" w:w="2448"/>
          </w:tcPr>
          <w:p>
            <w:r>
              <w:rPr>
                <w:sz w:val="18"/>
              </w:rPr>
              <w:t>HHS OCR</w:t>
            </w:r>
          </w:p>
        </w:tc>
        <w:tc>
          <w:tcPr>
            <w:tcW w:type="dxa" w:w="2448"/>
          </w:tcPr>
          <w:p>
            <w:r>
              <w:rPr>
                <w:sz w:val="18"/>
              </w:rPr>
              <w:t>Breach affecting 500 or more individuals</w:t>
            </w:r>
          </w:p>
        </w:tc>
        <w:tc>
          <w:tcPr>
            <w:tcW w:type="dxa" w:w="1728"/>
          </w:tcPr>
          <w:p>
            <w:r>
              <w:rPr>
                <w:sz w:val="18"/>
              </w:rPr>
              <w:t>60 days from discovery</w:t>
            </w:r>
          </w:p>
        </w:tc>
        <w:tc>
          <w:tcPr>
            <w:tcW w:type="dxa" w:w="2304"/>
          </w:tcPr>
          <w:p>
            <w:r>
              <w:rPr>
                <w:sz w:val="18"/>
              </w:rPr>
              <w:t>Covered entity</w:t>
            </w:r>
          </w:p>
        </w:tc>
      </w:tr>
      <w:tr>
        <w:tc>
          <w:tcPr>
            <w:tcW w:type="dxa" w:w="2448"/>
          </w:tcPr>
          <w:p>
            <w:r>
              <w:rPr>
                <w:sz w:val="18"/>
              </w:rPr>
              <w:t>HHS OCR (small breaches)</w:t>
            </w:r>
          </w:p>
        </w:tc>
        <w:tc>
          <w:tcPr>
            <w:tcW w:type="dxa" w:w="2448"/>
          </w:tcPr>
          <w:p>
            <w:r>
              <w:rPr>
                <w:sz w:val="18"/>
              </w:rPr>
              <w:t>Fewer than 500 individuals</w:t>
            </w:r>
          </w:p>
        </w:tc>
        <w:tc>
          <w:tcPr>
            <w:tcW w:type="dxa" w:w="1728"/>
          </w:tcPr>
          <w:p>
            <w:r>
              <w:rPr>
                <w:sz w:val="18"/>
              </w:rPr>
              <w:t>Annually, within 60 days of year end</w:t>
            </w:r>
          </w:p>
        </w:tc>
        <w:tc>
          <w:tcPr>
            <w:tcW w:type="dxa" w:w="2304"/>
          </w:tcPr>
          <w:p>
            <w:r>
              <w:rPr>
                <w:sz w:val="18"/>
              </w:rPr>
              <w:t>Covered entity</w:t>
            </w:r>
          </w:p>
        </w:tc>
      </w:tr>
      <w:tr>
        <w:tc>
          <w:tcPr>
            <w:tcW w:type="dxa" w:w="2448"/>
          </w:tcPr>
          <w:p>
            <w:r>
              <w:rPr>
                <w:sz w:val="18"/>
              </w:rPr>
              <w:t>Prominent media</w:t>
            </w:r>
          </w:p>
        </w:tc>
        <w:tc>
          <w:tcPr>
            <w:tcW w:type="dxa" w:w="2448"/>
          </w:tcPr>
          <w:p>
            <w:r>
              <w:rPr>
                <w:sz w:val="18"/>
              </w:rPr>
              <w:t>Breach affecting 500+ residents of one state</w:t>
            </w:r>
          </w:p>
        </w:tc>
        <w:tc>
          <w:tcPr>
            <w:tcW w:type="dxa" w:w="1728"/>
          </w:tcPr>
          <w:p>
            <w:r>
              <w:rPr>
                <w:sz w:val="18"/>
              </w:rPr>
              <w:t>60 days</w:t>
            </w:r>
          </w:p>
        </w:tc>
        <w:tc>
          <w:tcPr>
            <w:tcW w:type="dxa" w:w="2304"/>
          </w:tcPr>
          <w:p>
            <w:r>
              <w:rPr>
                <w:sz w:val="18"/>
              </w:rPr>
              <w:t>Covered entity</w:t>
            </w:r>
          </w:p>
        </w:tc>
      </w:tr>
      <w:tr>
        <w:tc>
          <w:tcPr>
            <w:tcW w:type="dxa" w:w="2448"/>
          </w:tcPr>
          <w:p>
            <w:r>
              <w:rPr>
                <w:sz w:val="18"/>
              </w:rPr>
              <w:t>Cyber insurance carrier</w:t>
            </w:r>
          </w:p>
        </w:tc>
        <w:tc>
          <w:tcPr>
            <w:tcW w:type="dxa" w:w="2448"/>
          </w:tcPr>
          <w:p>
            <w:r>
              <w:rPr>
                <w:sz w:val="18"/>
              </w:rPr>
              <w:t>Per policy terms</w:t>
            </w:r>
          </w:p>
        </w:tc>
        <w:tc>
          <w:tcPr>
            <w:tcW w:type="dxa" w:w="1728"/>
          </w:tcPr>
          <w:p>
            <w:r>
              <w:rPr>
                <w:sz w:val="18"/>
              </w:rPr>
              <w:t>Per policy</w:t>
            </w:r>
          </w:p>
        </w:tc>
        <w:tc>
          <w:tcPr>
            <w:tcW w:type="dxa" w:w="2304"/>
          </w:tcPr>
          <w:p>
            <w:r>
              <w:rPr>
                <w:sz w:val="18"/>
              </w:rPr>
              <w:t>CEO</w:t>
            </w:r>
          </w:p>
        </w:tc>
      </w:tr>
      <w:tr>
        <w:tc>
          <w:tcPr>
            <w:tcW w:type="dxa" w:w="2448"/>
          </w:tcPr>
          <w:p>
            <w:r>
              <w:rPr>
                <w:sz w:val="18"/>
              </w:rPr>
              <w:t>Law enforcement</w:t>
            </w:r>
          </w:p>
        </w:tc>
        <w:tc>
          <w:tcPr>
            <w:tcW w:type="dxa" w:w="2448"/>
          </w:tcPr>
          <w:p>
            <w:r>
              <w:rPr>
                <w:sz w:val="18"/>
              </w:rPr>
              <w:t>Criminal activity suspected</w:t>
            </w:r>
          </w:p>
        </w:tc>
        <w:tc>
          <w:tcPr>
            <w:tcW w:type="dxa" w:w="1728"/>
          </w:tcPr>
          <w:p>
            <w:r>
              <w:rPr>
                <w:sz w:val="18"/>
              </w:rPr>
              <w:t>As advised by counsel</w:t>
            </w:r>
          </w:p>
        </w:tc>
        <w:tc>
          <w:tcPr>
            <w:tcW w:type="dxa" w:w="2304"/>
          </w:tcPr>
          <w:p>
            <w:r>
              <w:rPr>
                <w:sz w:val="18"/>
              </w:rPr>
              <w:t>CEO</w:t>
            </w:r>
          </w:p>
        </w:tc>
      </w:tr>
    </w:tbl>
    <w:p/>
    <w:p>
      <w:r>
        <w:t>Encryption meeting HHS guidance is a safe harbour: loss of properly encrypted PHI is not a breach of unsecured PHI and does not trigger these deadlines. Establishing whether the data was encrypted is therefore one of the first determinations in any incident involving data loss.</w:t>
      </w:r>
    </w:p>
    <w:p>
      <w:pPr>
        <w:pStyle w:val="Heading1"/>
      </w:pPr>
      <w:r>
        <w:t>9. Scenario playbooks</w:t>
      </w:r>
    </w:p>
    <w:p>
      <w:pPr>
        <w:pStyle w:val="Heading2"/>
      </w:pPr>
      <w:r>
        <w:t>9.1 Ransomware</w:t>
      </w:r>
    </w:p>
    <w:p>
      <w:pPr>
        <w:pStyle w:val="ListNumber"/>
      </w:pPr>
      <w:r>
        <w:t>Isolate affected systems from the network immediately.</w:t>
      </w:r>
    </w:p>
    <w:p>
      <w:pPr>
        <w:pStyle w:val="ListNumber"/>
      </w:pPr>
      <w:r>
        <w:t>Do not pay, and do not communicate with the actor, without CEO and counsel involvement.</w:t>
      </w:r>
    </w:p>
    <w:p>
      <w:pPr>
        <w:pStyle w:val="ListNumber"/>
      </w:pPr>
      <w:r>
        <w:t>Identify the entry vector before restoring; restoring into an unremediated environment reinfects.</w:t>
      </w:r>
    </w:p>
    <w:p>
      <w:pPr>
        <w:pStyle w:val="ListNumber"/>
      </w:pPr>
      <w:r>
        <w:t>Assess whether PHI was accessed or exfiltrated - HHS guidance presumes a breach in a ransomware event unless a low probability of compromise is demonstrated.</w:t>
      </w:r>
    </w:p>
    <w:p>
      <w:pPr>
        <w:pStyle w:val="ListNumber"/>
      </w:pPr>
      <w:r>
        <w:t>Restore from platform backups, which are outside the compromised system's control.</w:t>
      </w:r>
    </w:p>
    <w:p>
      <w:pPr>
        <w:pStyle w:val="ListNumber"/>
      </w:pPr>
      <w:r>
        <w:t>Notify per section 8.</w:t>
      </w:r>
    </w:p>
    <w:p>
      <w:pPr>
        <w:pStyle w:val="Heading2"/>
      </w:pPr>
      <w:r>
        <w:t>9.2 Credential theft</w:t>
      </w:r>
    </w:p>
    <w:p>
      <w:pPr>
        <w:pStyle w:val="ListNumber"/>
      </w:pPr>
      <w:r>
        <w:t>Disable the account and revoke all active sessions.</w:t>
      </w:r>
    </w:p>
    <w:p>
      <w:pPr>
        <w:pStyle w:val="ListNumber"/>
      </w:pPr>
      <w:r>
        <w:t>Determine what the credential could reach and over what period.</w:t>
      </w:r>
    </w:p>
    <w:p>
      <w:pPr>
        <w:pStyle w:val="ListNumber"/>
      </w:pPr>
      <w:r>
        <w:t>Review audit logs for actions taken with the credential.</w:t>
      </w:r>
    </w:p>
    <w:p>
      <w:pPr>
        <w:pStyle w:val="ListNumber"/>
      </w:pPr>
      <w:r>
        <w:t>Rotate the token signing key if the blast radius is not precisely bounded.</w:t>
      </w:r>
    </w:p>
    <w:p>
      <w:pPr>
        <w:pStyle w:val="ListNumber"/>
      </w:pPr>
      <w:r>
        <w:t>Require re-enrolment of MFA for the affected identity.</w:t>
      </w:r>
    </w:p>
    <w:p>
      <w:pPr>
        <w:pStyle w:val="ListNumber"/>
      </w:pPr>
      <w:r>
        <w:t>Assess for PHI access; if PHI was reachable, treat as a probable breach until evidence shows otherwise.</w:t>
      </w:r>
    </w:p>
    <w:p>
      <w:pPr>
        <w:pStyle w:val="Heading2"/>
      </w:pPr>
      <w:r>
        <w:t>9.3 Exposed secret</w:t>
      </w:r>
    </w:p>
    <w:p>
      <w:pPr>
        <w:pStyle w:val="ListNumber"/>
      </w:pPr>
      <w:r>
        <w:t>Rotate the secret immediately - this is containment.</w:t>
      </w:r>
    </w:p>
    <w:p>
      <w:pPr>
        <w:pStyle w:val="ListNumber"/>
      </w:pPr>
      <w:r>
        <w:t>Determine the exposure window and who could have accessed it.</w:t>
      </w:r>
    </w:p>
    <w:p>
      <w:pPr>
        <w:pStyle w:val="ListNumber"/>
      </w:pPr>
      <w:r>
        <w:t>Review logs for use of the secret from unexpected sources.</w:t>
      </w:r>
    </w:p>
    <w:p>
      <w:pPr>
        <w:pStyle w:val="ListNumber"/>
      </w:pPr>
      <w:r>
        <w:t>Remove it from source and add detection to prevent recurrence.</w:t>
      </w:r>
    </w:p>
    <w:p>
      <w:pPr>
        <w:pStyle w:val="ListNumber"/>
      </w:pPr>
      <w:r>
        <w:t>Record as an incident even if no misuse is found; the exposure itself is the event.</w:t>
      </w:r>
    </w:p>
    <w:p>
      <w:pPr>
        <w:pStyle w:val="Heading1"/>
      </w:pPr>
      <w:r>
        <w:t>10. Phase 5 - Lessons learned</w:t>
      </w:r>
    </w:p>
    <w:p>
      <w:r>
        <w:t>A post-incident review occurs within 10 business days of closure for Critical and High incidents. It produces: a timeline, the root cause, what detection worked and what did not, and corrective actions with owners and dates. Corrective actions enter the POA&amp;M. The review is blameless in tone and specific in substance - the purpose is to change the system, not to assign fault.</w:t>
      </w:r>
    </w:p>
    <w:p>
      <w:pPr>
        <w:pStyle w:val="Heading1"/>
      </w:pPr>
      <w:r>
        <w:t>11. Incident record retention</w:t>
      </w:r>
    </w:p>
    <w:p>
      <w:r>
        <w:t>Incident records are retained for six years per AGT-DRP-007.</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Declares Critical incidents; owns all external notification.</w:t>
            </w:r>
          </w:p>
        </w:tc>
      </w:tr>
      <w:tr>
        <w:tc>
          <w:tcPr>
            <w:tcW w:type="dxa" w:w="2592"/>
          </w:tcPr>
          <w:p>
            <w:r>
              <w:rPr>
                <w:sz w:val="18"/>
              </w:rPr>
              <w:t>Security Officer</w:t>
            </w:r>
          </w:p>
        </w:tc>
        <w:tc>
          <w:tcPr>
            <w:tcW w:type="dxa" w:w="6336"/>
          </w:tcPr>
          <w:p>
            <w:r>
              <w:rPr>
                <w:sz w:val="18"/>
              </w:rPr>
              <w:t>Incident lead for technical response; preserves evidence.</w:t>
            </w:r>
          </w:p>
        </w:tc>
      </w:tr>
      <w:tr>
        <w:tc>
          <w:tcPr>
            <w:tcW w:type="dxa" w:w="2592"/>
          </w:tcPr>
          <w:p>
            <w:r>
              <w:rPr>
                <w:sz w:val="18"/>
              </w:rPr>
              <w:t>Privacy Officer</w:t>
            </w:r>
          </w:p>
        </w:tc>
        <w:tc>
          <w:tcPr>
            <w:tcW w:type="dxa" w:w="6336"/>
          </w:tcPr>
          <w:p>
            <w:r>
              <w:rPr>
                <w:sz w:val="18"/>
              </w:rPr>
              <w:t>Determines breach status and notification obligations.</w:t>
            </w:r>
          </w:p>
        </w:tc>
      </w:tr>
      <w:tr>
        <w:tc>
          <w:tcPr>
            <w:tcW w:type="dxa" w:w="2592"/>
          </w:tcPr>
          <w:p>
            <w:r>
              <w:rPr>
                <w:sz w:val="18"/>
              </w:rPr>
              <w:t>Engineering</w:t>
            </w:r>
          </w:p>
        </w:tc>
        <w:tc>
          <w:tcPr>
            <w:tcW w:type="dxa" w:w="6336"/>
          </w:tcPr>
          <w:p>
            <w:r>
              <w:rPr>
                <w:sz w:val="18"/>
              </w:rPr>
              <w:t>Executes containment, eradication, and recovery.</w:t>
            </w:r>
          </w:p>
        </w:tc>
      </w:tr>
      <w:tr>
        <w:tc>
          <w:tcPr>
            <w:tcW w:type="dxa" w:w="2592"/>
          </w:tcPr>
          <w:p>
            <w:r>
              <w:rPr>
                <w:sz w:val="18"/>
              </w:rPr>
              <w:t>All personnel</w:t>
            </w:r>
          </w:p>
        </w:tc>
        <w:tc>
          <w:tcPr>
            <w:tcW w:type="dxa" w:w="6336"/>
          </w:tcPr>
          <w:p>
            <w:r>
              <w:rPr>
                <w:sz w:val="18"/>
              </w:rPr>
              <w:t>Report suspected incidents immediately; do not investigate alone.</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IR-1 through IR-8</w:t>
            </w:r>
          </w:p>
        </w:tc>
        <w:tc>
          <w:tcPr>
            <w:tcW w:type="dxa" w:w="4320"/>
          </w:tcPr>
          <w:p>
            <w:r>
              <w:rPr>
                <w:sz w:val="18"/>
              </w:rPr>
              <w:t>Incident response policy, training, testing, handling, monitoring, reporting, assistance, plan.</w:t>
            </w:r>
          </w:p>
        </w:tc>
        <w:tc>
          <w:tcPr>
            <w:tcW w:type="dxa" w:w="1152"/>
          </w:tcPr>
          <w:p>
            <w:r>
              <w:rPr>
                <w:sz w:val="18"/>
              </w:rPr>
              <w:t>Met</w:t>
            </w:r>
          </w:p>
        </w:tc>
      </w:tr>
      <w:tr>
        <w:tc>
          <w:tcPr>
            <w:tcW w:type="dxa" w:w="1584"/>
          </w:tcPr>
          <w:p>
            <w:r>
              <w:rPr>
                <w:sz w:val="18"/>
              </w:rPr>
              <w:t>NIST 800-61</w:t>
            </w:r>
          </w:p>
        </w:tc>
        <w:tc>
          <w:tcPr>
            <w:tcW w:type="dxa" w:w="2160"/>
          </w:tcPr>
          <w:p>
            <w:r>
              <w:rPr>
                <w:sz w:val="18"/>
              </w:rPr>
              <w:t>Rev. 2</w:t>
            </w:r>
          </w:p>
        </w:tc>
        <w:tc>
          <w:tcPr>
            <w:tcW w:type="dxa" w:w="4320"/>
          </w:tcPr>
          <w:p>
            <w:r>
              <w:rPr>
                <w:sz w:val="18"/>
              </w:rPr>
              <w:t>Incident handling lifecycle adopted.</w:t>
            </w:r>
          </w:p>
        </w:tc>
        <w:tc>
          <w:tcPr>
            <w:tcW w:type="dxa" w:w="1152"/>
          </w:tcPr>
          <w:p>
            <w:r>
              <w:rPr>
                <w:sz w:val="18"/>
              </w:rPr>
              <w:t>Met</w:t>
            </w:r>
          </w:p>
        </w:tc>
      </w:tr>
      <w:tr>
        <w:tc>
          <w:tcPr>
            <w:tcW w:type="dxa" w:w="1584"/>
          </w:tcPr>
          <w:p>
            <w:r>
              <w:rPr>
                <w:sz w:val="18"/>
              </w:rPr>
              <w:t>HIPAA</w:t>
            </w:r>
          </w:p>
        </w:tc>
        <w:tc>
          <w:tcPr>
            <w:tcW w:type="dxa" w:w="2160"/>
          </w:tcPr>
          <w:p>
            <w:r>
              <w:rPr>
                <w:sz w:val="18"/>
              </w:rPr>
              <w:t>164.308(a)(6)</w:t>
            </w:r>
          </w:p>
        </w:tc>
        <w:tc>
          <w:tcPr>
            <w:tcW w:type="dxa" w:w="4320"/>
          </w:tcPr>
          <w:p>
            <w:r>
              <w:rPr>
                <w:sz w:val="18"/>
              </w:rPr>
              <w:t>Security incident procedures.</w:t>
            </w:r>
          </w:p>
        </w:tc>
        <w:tc>
          <w:tcPr>
            <w:tcW w:type="dxa" w:w="1152"/>
          </w:tcPr>
          <w:p>
            <w:r>
              <w:rPr>
                <w:sz w:val="18"/>
              </w:rPr>
              <w:t>Met</w:t>
            </w:r>
          </w:p>
        </w:tc>
      </w:tr>
      <w:tr>
        <w:tc>
          <w:tcPr>
            <w:tcW w:type="dxa" w:w="1584"/>
          </w:tcPr>
          <w:p>
            <w:r>
              <w:rPr>
                <w:sz w:val="18"/>
              </w:rPr>
              <w:t>HIPAA</w:t>
            </w:r>
          </w:p>
        </w:tc>
        <w:tc>
          <w:tcPr>
            <w:tcW w:type="dxa" w:w="2160"/>
          </w:tcPr>
          <w:p>
            <w:r>
              <w:rPr>
                <w:sz w:val="18"/>
              </w:rPr>
              <w:t>164.410</w:t>
            </w:r>
          </w:p>
        </w:tc>
        <w:tc>
          <w:tcPr>
            <w:tcW w:type="dxa" w:w="4320"/>
          </w:tcPr>
          <w:p>
            <w:r>
              <w:rPr>
                <w:sz w:val="18"/>
              </w:rPr>
              <w:t>Business associate breach notification to the covered entity.</w:t>
            </w:r>
          </w:p>
        </w:tc>
        <w:tc>
          <w:tcPr>
            <w:tcW w:type="dxa" w:w="1152"/>
          </w:tcPr>
          <w:p>
            <w:r>
              <w:rPr>
                <w:sz w:val="18"/>
              </w:rPr>
              <w:t>Met</w:t>
            </w:r>
          </w:p>
        </w:tc>
      </w:tr>
      <w:tr>
        <w:tc>
          <w:tcPr>
            <w:tcW w:type="dxa" w:w="1584"/>
          </w:tcPr>
          <w:p>
            <w:r>
              <w:rPr>
                <w:sz w:val="18"/>
              </w:rPr>
              <w:t>HIPAA</w:t>
            </w:r>
          </w:p>
        </w:tc>
        <w:tc>
          <w:tcPr>
            <w:tcW w:type="dxa" w:w="2160"/>
          </w:tcPr>
          <w:p>
            <w:r>
              <w:rPr>
                <w:sz w:val="18"/>
              </w:rPr>
              <w:t>164.404-408</w:t>
            </w:r>
          </w:p>
        </w:tc>
        <w:tc>
          <w:tcPr>
            <w:tcW w:type="dxa" w:w="4320"/>
          </w:tcPr>
          <w:p>
            <w:r>
              <w:rPr>
                <w:sz w:val="18"/>
              </w:rPr>
              <w:t>Notification to individuals, media, and HHS.</w:t>
            </w:r>
          </w:p>
        </w:tc>
        <w:tc>
          <w:tcPr>
            <w:tcW w:type="dxa" w:w="1152"/>
          </w:tcPr>
          <w:p>
            <w:r>
              <w:rPr>
                <w:sz w:val="18"/>
              </w:rPr>
              <w:t>Met</w:t>
            </w:r>
          </w:p>
        </w:tc>
      </w:tr>
      <w:tr>
        <w:tc>
          <w:tcPr>
            <w:tcW w:type="dxa" w:w="1584"/>
          </w:tcPr>
          <w:p>
            <w:r>
              <w:rPr>
                <w:sz w:val="18"/>
              </w:rPr>
              <w:t>SOC 2</w:t>
            </w:r>
          </w:p>
        </w:tc>
        <w:tc>
          <w:tcPr>
            <w:tcW w:type="dxa" w:w="2160"/>
          </w:tcPr>
          <w:p>
            <w:r>
              <w:rPr>
                <w:sz w:val="18"/>
              </w:rPr>
              <w:t>CC7.3, CC7.4, CC7.5</w:t>
            </w:r>
          </w:p>
        </w:tc>
        <w:tc>
          <w:tcPr>
            <w:tcW w:type="dxa" w:w="4320"/>
          </w:tcPr>
          <w:p>
            <w:r>
              <w:rPr>
                <w:sz w:val="18"/>
              </w:rPr>
              <w:t>Evaluation, response, and recovery from incidents.</w:t>
            </w:r>
          </w:p>
        </w:tc>
        <w:tc>
          <w:tcPr>
            <w:tcW w:type="dxa" w:w="1152"/>
          </w:tcPr>
          <w:p>
            <w:r>
              <w:rPr>
                <w:sz w:val="18"/>
              </w:rPr>
              <w:t>Met</w:t>
            </w:r>
          </w:p>
        </w:tc>
      </w:tr>
      <w:tr>
        <w:tc>
          <w:tcPr>
            <w:tcW w:type="dxa" w:w="1584"/>
          </w:tcPr>
          <w:p>
            <w:r>
              <w:rPr>
                <w:sz w:val="18"/>
              </w:rPr>
              <w:t>ISO 27001</w:t>
            </w:r>
          </w:p>
        </w:tc>
        <w:tc>
          <w:tcPr>
            <w:tcW w:type="dxa" w:w="2160"/>
          </w:tcPr>
          <w:p>
            <w:r>
              <w:rPr>
                <w:sz w:val="18"/>
              </w:rPr>
              <w:t>A.5.24 through A.5.28</w:t>
            </w:r>
          </w:p>
        </w:tc>
        <w:tc>
          <w:tcPr>
            <w:tcW w:type="dxa" w:w="4320"/>
          </w:tcPr>
          <w:p>
            <w:r>
              <w:rPr>
                <w:sz w:val="18"/>
              </w:rPr>
              <w:t>Incident management planning, assessment, response, learning, evidence.</w:t>
            </w:r>
          </w:p>
        </w:tc>
        <w:tc>
          <w:tcPr>
            <w:tcW w:type="dxa" w:w="1152"/>
          </w:tcPr>
          <w:p>
            <w:r>
              <w:rPr>
                <w:sz w:val="18"/>
              </w:rPr>
              <w:t>Met</w:t>
            </w:r>
          </w:p>
        </w:tc>
      </w:tr>
      <w:tr>
        <w:tc>
          <w:tcPr>
            <w:tcW w:type="dxa" w:w="1584"/>
          </w:tcPr>
          <w:p>
            <w:r>
              <w:rPr>
                <w:sz w:val="18"/>
              </w:rPr>
              <w:t>FedRAMP</w:t>
            </w:r>
          </w:p>
        </w:tc>
        <w:tc>
          <w:tcPr>
            <w:tcW w:type="dxa" w:w="2160"/>
          </w:tcPr>
          <w:p>
            <w:r>
              <w:rPr>
                <w:sz w:val="18"/>
              </w:rPr>
              <w:t>IR-4(1), IR-6(1)</w:t>
            </w:r>
          </w:p>
        </w:tc>
        <w:tc>
          <w:tcPr>
            <w:tcW w:type="dxa" w:w="4320"/>
          </w:tcPr>
          <w:p>
            <w:r>
              <w:rPr>
                <w:sz w:val="18"/>
              </w:rPr>
              <w:t>Automated incident handling and reporting.</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AGT-BCP-020</w:t>
            </w:r>
          </w:p>
        </w:tc>
        <w:tc>
          <w:tcPr>
            <w:tcW w:type="dxa" w:w="4176"/>
          </w:tcPr>
          <w:p>
            <w:r>
              <w:rPr>
                <w:sz w:val="18"/>
              </w:rPr>
              <w:t>Business Continuity Policy</w:t>
            </w:r>
          </w:p>
        </w:tc>
        <w:tc>
          <w:tcPr>
            <w:tcW w:type="dxa" w:w="3168"/>
          </w:tcPr>
          <w:p>
            <w:r>
              <w:rPr>
                <w:sz w:val="18"/>
              </w:rPr>
              <w:t>Business coordination during incidents</w:t>
            </w:r>
          </w:p>
        </w:tc>
      </w:tr>
      <w:tr>
        <w:tc>
          <w:tcPr>
            <w:tcW w:type="dxa" w:w="1872"/>
          </w:tcPr>
          <w:p>
            <w:r>
              <w:rPr>
                <w:sz w:val="18"/>
              </w:rPr>
              <w:t>AGT-DRP-021</w:t>
            </w:r>
          </w:p>
        </w:tc>
        <w:tc>
          <w:tcPr>
            <w:tcW w:type="dxa" w:w="4176"/>
          </w:tcPr>
          <w:p>
            <w:r>
              <w:rPr>
                <w:sz w:val="18"/>
              </w:rPr>
              <w:t>Disaster Recovery Policy</w:t>
            </w:r>
          </w:p>
        </w:tc>
        <w:tc>
          <w:tcPr>
            <w:tcW w:type="dxa" w:w="3168"/>
          </w:tcPr>
          <w:p>
            <w:r>
              <w:rPr>
                <w:sz w:val="18"/>
              </w:rPr>
              <w:t>Technical recovery after eradication</w:t>
            </w:r>
          </w:p>
        </w:tc>
      </w:tr>
      <w:tr>
        <w:tc>
          <w:tcPr>
            <w:tcW w:type="dxa" w:w="1872"/>
          </w:tcPr>
          <w:p>
            <w:r>
              <w:rPr>
                <w:sz w:val="18"/>
              </w:rPr>
              <w:t>AGT-PPF-014</w:t>
            </w:r>
          </w:p>
        </w:tc>
        <w:tc>
          <w:tcPr>
            <w:tcW w:type="dxa" w:w="4176"/>
          </w:tcPr>
          <w:p>
            <w:r>
              <w:rPr>
                <w:sz w:val="18"/>
              </w:rPr>
              <w:t>Privacy Policy Framework</w:t>
            </w:r>
          </w:p>
        </w:tc>
        <w:tc>
          <w:tcPr>
            <w:tcW w:type="dxa" w:w="3168"/>
          </w:tcPr>
          <w:p>
            <w:r>
              <w:rPr>
                <w:sz w:val="18"/>
              </w:rPr>
              <w:t>Breach determination and privacy obligations</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Detection and evidence</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Vendor-originated incidents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AGT-IRP-022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